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1DEBFD">
      <w:pPr>
        <w:spacing w:line="600" w:lineRule="exact"/>
        <w:jc w:val="lef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附件2</w:t>
      </w:r>
    </w:p>
    <w:p w14:paraId="3F6EF8FA">
      <w:pPr>
        <w:spacing w:line="600" w:lineRule="exact"/>
        <w:jc w:val="center"/>
        <w:rPr>
          <w:rFonts w:hint="eastAsia" w:ascii="Times New Roman" w:hAnsi="Times New Roman" w:eastAsia="方正小标宋简体" w:cs="Times New Roman"/>
          <w:kern w:val="2"/>
          <w:sz w:val="44"/>
          <w:szCs w:val="44"/>
          <w:lang w:val="en-US" w:eastAsia="en-US" w:bidi="ar-SA"/>
        </w:rPr>
      </w:pPr>
      <w:r>
        <w:rPr>
          <w:rFonts w:hint="eastAsia" w:ascii="Times New Roman" w:hAnsi="Times New Roman" w:eastAsia="方正小标宋简体" w:cs="Times New Roman"/>
          <w:kern w:val="2"/>
          <w:sz w:val="44"/>
          <w:szCs w:val="44"/>
          <w:lang w:val="en-US" w:eastAsia="zh-CN" w:bidi="ar-SA"/>
        </w:rPr>
        <w:t>岗亭等配套设施</w:t>
      </w:r>
      <w:r>
        <w:rPr>
          <w:rFonts w:hint="eastAsia" w:ascii="Times New Roman" w:hAnsi="Times New Roman" w:eastAsia="方正小标宋简体" w:cs="Times New Roman"/>
          <w:kern w:val="2"/>
          <w:sz w:val="44"/>
          <w:szCs w:val="44"/>
          <w:lang w:val="en-US" w:eastAsia="en-US" w:bidi="ar-SA"/>
        </w:rPr>
        <w:t>采购合同</w:t>
      </w:r>
    </w:p>
    <w:p w14:paraId="152C356A">
      <w:pPr>
        <w:spacing w:line="600" w:lineRule="exact"/>
        <w:jc w:val="center"/>
        <w:rPr>
          <w:rFonts w:hint="eastAsia" w:ascii="Times New Roman" w:hAnsi="Times New Roman" w:eastAsia="方正小标宋简体" w:cs="Times New Roman"/>
          <w:kern w:val="2"/>
          <w:sz w:val="44"/>
          <w:szCs w:val="44"/>
          <w:lang w:val="en-US" w:eastAsia="en-US" w:bidi="ar-SA"/>
        </w:rPr>
      </w:pPr>
    </w:p>
    <w:p w14:paraId="324CE8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签订地点：四川省广汉市</w:t>
      </w:r>
    </w:p>
    <w:p w14:paraId="0F672E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采购人（甲方）：</w:t>
      </w:r>
    </w:p>
    <w:p w14:paraId="597481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供应商（乙方）：</w:t>
      </w:r>
    </w:p>
    <w:p w14:paraId="6ECBFC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根据《中华人民共和国民法典》及岗亭等配套设施采购项目的沟通，甲、乙双方同意签订本合同。详细技术说明及其他有关合同项目的特定信息由合同附件予以说明，合同附件为本合同不可分割的部分。双方同意共同遵守如下条款：</w:t>
      </w:r>
    </w:p>
    <w:p w14:paraId="379FFC68">
      <w:pPr>
        <w:numPr>
          <w:ilvl w:val="0"/>
          <w:numId w:val="0"/>
        </w:numPr>
        <w:spacing w:line="560" w:lineRule="exact"/>
        <w:ind w:left="1360" w:leftChars="0" w:hanging="720" w:firstLineChars="0"/>
        <w:rPr>
          <w:rFonts w:hint="default" w:ascii="Times New Roman" w:hAnsi="Times New Roman" w:eastAsia="方正黑体简体" w:cs="Times New Roman"/>
          <w:kern w:val="2"/>
          <w:sz w:val="32"/>
          <w:szCs w:val="32"/>
          <w:lang w:val="en-US" w:eastAsia="zh-CN" w:bidi="ar-SA"/>
        </w:rPr>
      </w:pPr>
      <w:r>
        <w:rPr>
          <w:rFonts w:hint="eastAsia" w:ascii="Times New Roman" w:hAnsi="Times New Roman" w:eastAsia="方正黑体简体" w:cs="Times New Roman"/>
          <w:kern w:val="2"/>
          <w:sz w:val="32"/>
          <w:szCs w:val="32"/>
          <w:lang w:val="en-US" w:eastAsia="zh-CN" w:bidi="ar-SA"/>
        </w:rPr>
        <w:t>一、合同货物</w:t>
      </w:r>
    </w:p>
    <w:p w14:paraId="457FF0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包含</w:t>
      </w:r>
      <w:r>
        <w:rPr>
          <w:rFonts w:hint="default" w:ascii="Times New Roman" w:hAnsi="Times New Roman" w:eastAsia="方正仿宋简体" w:cs="Times New Roman"/>
          <w:b w:val="0"/>
          <w:bCs/>
          <w:kern w:val="2"/>
          <w:sz w:val="32"/>
          <w:szCs w:val="32"/>
          <w:lang w:val="en-US" w:eastAsia="zh-CN" w:bidi="ar-SA"/>
        </w:rPr>
        <w:t>岗亭</w:t>
      </w:r>
      <w:r>
        <w:rPr>
          <w:rFonts w:hint="eastAsia" w:ascii="Times New Roman" w:hAnsi="Times New Roman" w:eastAsia="方正仿宋简体" w:cs="Times New Roman"/>
          <w:b w:val="0"/>
          <w:bCs/>
          <w:kern w:val="2"/>
          <w:sz w:val="32"/>
          <w:szCs w:val="32"/>
          <w:lang w:val="en-US" w:eastAsia="zh-CN" w:bidi="ar-SA"/>
        </w:rPr>
        <w:t>1套、空调1台、工作台1台等</w:t>
      </w:r>
      <w:r>
        <w:rPr>
          <w:rFonts w:hint="default" w:ascii="Times New Roman" w:hAnsi="Times New Roman" w:eastAsia="方正仿宋简体" w:cs="Times New Roman"/>
          <w:b w:val="0"/>
          <w:bCs/>
          <w:kern w:val="2"/>
          <w:sz w:val="32"/>
          <w:szCs w:val="32"/>
          <w:lang w:val="en-US" w:eastAsia="zh-CN" w:bidi="ar-SA"/>
        </w:rPr>
        <w:t>配套设施</w:t>
      </w:r>
      <w:r>
        <w:rPr>
          <w:rFonts w:hint="eastAsia" w:ascii="Times New Roman" w:hAnsi="Times New Roman" w:eastAsia="方正仿宋简体" w:cs="Times New Roman"/>
          <w:b w:val="0"/>
          <w:bCs/>
          <w:kern w:val="2"/>
          <w:sz w:val="32"/>
          <w:szCs w:val="32"/>
          <w:lang w:val="en-US" w:eastAsia="zh-CN" w:bidi="ar-SA"/>
        </w:rPr>
        <w:t>（参数详见附件）。</w:t>
      </w:r>
    </w:p>
    <w:p w14:paraId="0358BBFE">
      <w:pPr>
        <w:numPr>
          <w:ilvl w:val="0"/>
          <w:numId w:val="0"/>
        </w:numPr>
        <w:spacing w:line="560" w:lineRule="exact"/>
        <w:ind w:left="1360" w:leftChars="0" w:hanging="720" w:firstLineChars="0"/>
        <w:rPr>
          <w:rFonts w:hint="eastAsia" w:ascii="黑体" w:hAnsi="黑体" w:eastAsia="黑体" w:cs="黑体"/>
          <w:sz w:val="36"/>
          <w:szCs w:val="36"/>
        </w:rPr>
      </w:pPr>
      <w:r>
        <w:rPr>
          <w:rFonts w:hint="eastAsia" w:ascii="Times New Roman" w:hAnsi="Times New Roman" w:eastAsia="方正黑体简体" w:cs="Times New Roman"/>
          <w:kern w:val="2"/>
          <w:sz w:val="32"/>
          <w:szCs w:val="32"/>
          <w:lang w:val="en-US" w:eastAsia="zh-CN" w:bidi="ar-SA"/>
        </w:rPr>
        <w:t>二、合同总价</w:t>
      </w:r>
    </w:p>
    <w:p w14:paraId="201F3D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合同总价为人民币大写：__________元，即__________</w:t>
      </w:r>
      <w:r>
        <w:rPr>
          <w:rFonts w:hint="eastAsia" w:ascii="Times New Roman" w:hAnsi="Times New Roman" w:eastAsia="方正仿宋简体" w:cs="Times New Roman"/>
          <w:b w:val="0"/>
          <w:bCs/>
          <w:kern w:val="2"/>
          <w:sz w:val="32"/>
          <w:szCs w:val="32"/>
          <w:u w:val="single"/>
          <w:lang w:val="en-US" w:eastAsia="zh-CN" w:bidi="ar-SA"/>
        </w:rPr>
        <w:t xml:space="preserve">                   </w:t>
      </w:r>
      <w:r>
        <w:rPr>
          <w:rFonts w:hint="eastAsia" w:ascii="Times New Roman" w:hAnsi="Times New Roman" w:eastAsia="方正仿宋简体" w:cs="Times New Roman"/>
          <w:b w:val="0"/>
          <w:bCs/>
          <w:kern w:val="2"/>
          <w:sz w:val="32"/>
          <w:szCs w:val="32"/>
          <w:lang w:val="en-US" w:eastAsia="zh-CN" w:bidi="ar-SA"/>
        </w:rPr>
        <w:t>元；该合同总价已包括材料、制造、包装、运输、安装、调试、检测、人工、税金、验收合格交付使用之前及保修期内保修服务与备用物件等等所有其他有关各项的含税（开具增值税专用发票）费用。本合同执行期间合同总价不变，甲方无须另向乙方支付本合同规定之外的其他任何费用。</w:t>
      </w:r>
    </w:p>
    <w:p w14:paraId="1BA47F9B">
      <w:pPr>
        <w:numPr>
          <w:ilvl w:val="0"/>
          <w:numId w:val="0"/>
        </w:numPr>
        <w:spacing w:line="560" w:lineRule="exact"/>
        <w:ind w:left="1360" w:leftChars="0" w:hanging="720" w:firstLineChars="0"/>
        <w:rPr>
          <w:rFonts w:hint="eastAsia" w:ascii="Times New Roman" w:hAnsi="Times New Roman" w:eastAsia="方正黑体简体" w:cs="Times New Roman"/>
          <w:kern w:val="2"/>
          <w:sz w:val="32"/>
          <w:szCs w:val="32"/>
          <w:lang w:val="en-US" w:eastAsia="zh-CN" w:bidi="ar-SA"/>
        </w:rPr>
      </w:pPr>
      <w:r>
        <w:rPr>
          <w:rFonts w:hint="eastAsia" w:ascii="Times New Roman" w:hAnsi="Times New Roman" w:eastAsia="方正黑体简体" w:cs="Times New Roman"/>
          <w:kern w:val="2"/>
          <w:sz w:val="32"/>
          <w:szCs w:val="32"/>
          <w:lang w:val="en-US" w:eastAsia="zh-CN" w:bidi="ar-SA"/>
        </w:rPr>
        <w:t>三、质量要求</w:t>
      </w:r>
    </w:p>
    <w:p w14:paraId="24A4E2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1.乙方须提供全新的货物，表面无划伤、无碰撞痕迹，且权属清楚，不得侵害他人的知识产权。</w:t>
      </w:r>
    </w:p>
    <w:p w14:paraId="52CB3E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2.货物必须符合或优于国家（行业）相关标准，以及本合同的质量要求和技术指标与出厂标准。</w:t>
      </w:r>
    </w:p>
    <w:p w14:paraId="30DDAA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3.货物出现质量问题时，乙方应负责三包（包修、包换、包退），相关费用由乙方承担。</w:t>
      </w:r>
    </w:p>
    <w:p w14:paraId="71A7A0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4.货物到现场后由于甲方使用不当造成的质量问题，乙方亦应负责更换，但费用由甲方负担。</w:t>
      </w:r>
    </w:p>
    <w:p w14:paraId="2A27C4D1">
      <w:pPr>
        <w:numPr>
          <w:ilvl w:val="0"/>
          <w:numId w:val="0"/>
        </w:numPr>
        <w:spacing w:line="560" w:lineRule="exact"/>
        <w:ind w:left="1360" w:leftChars="0" w:hanging="720" w:firstLineChars="0"/>
        <w:rPr>
          <w:rFonts w:hint="eastAsia" w:ascii="Times New Roman" w:hAnsi="Times New Roman" w:eastAsia="方正黑体简体" w:cs="Times New Roman"/>
          <w:kern w:val="2"/>
          <w:sz w:val="30"/>
          <w:szCs w:val="30"/>
          <w:lang w:val="en-US" w:eastAsia="zh-CN" w:bidi="ar-SA"/>
        </w:rPr>
      </w:pPr>
      <w:r>
        <w:rPr>
          <w:rFonts w:hint="eastAsia" w:ascii="Times New Roman" w:hAnsi="Times New Roman" w:eastAsia="方正黑体简体" w:cs="Times New Roman"/>
          <w:kern w:val="2"/>
          <w:sz w:val="30"/>
          <w:szCs w:val="30"/>
          <w:lang w:val="en-US" w:eastAsia="zh-CN" w:bidi="ar-SA"/>
        </w:rPr>
        <w:t>四、运输</w:t>
      </w:r>
    </w:p>
    <w:p w14:paraId="78C5A7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运输设备的运载工具应清洁干燥、无污染物；敞车运输须加盖防雨篷布，严防雨雪侵入。装卸作业应采取合适方式，保护包装箱完好，规范堆码，防止产品磕碰、包装破损及货品变形损坏；运输期间严禁与腐蚀性物质接触。</w:t>
      </w:r>
    </w:p>
    <w:p w14:paraId="08AF25C1">
      <w:pPr>
        <w:numPr>
          <w:ilvl w:val="0"/>
          <w:numId w:val="0"/>
        </w:numPr>
        <w:spacing w:line="560" w:lineRule="exact"/>
        <w:ind w:left="1360" w:leftChars="0" w:hanging="720" w:firstLineChars="0"/>
        <w:rPr>
          <w:rFonts w:hint="eastAsia" w:ascii="Times New Roman" w:hAnsi="Times New Roman" w:eastAsia="方正黑体简体" w:cs="Times New Roman"/>
          <w:kern w:val="2"/>
          <w:sz w:val="32"/>
          <w:szCs w:val="32"/>
          <w:lang w:val="en-US" w:eastAsia="zh-CN" w:bidi="ar-SA"/>
        </w:rPr>
      </w:pPr>
      <w:r>
        <w:rPr>
          <w:rFonts w:hint="eastAsia" w:ascii="Times New Roman" w:hAnsi="Times New Roman" w:eastAsia="方正黑体简体" w:cs="Times New Roman"/>
          <w:kern w:val="2"/>
          <w:sz w:val="32"/>
          <w:szCs w:val="32"/>
          <w:lang w:val="en-US" w:eastAsia="zh-CN" w:bidi="ar-SA"/>
        </w:rPr>
        <w:t>五、交货、安装及验收：</w:t>
      </w:r>
    </w:p>
    <w:p w14:paraId="4E9FD0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 xml:space="preserve">1.交货时间： </w:t>
      </w:r>
    </w:p>
    <w:p w14:paraId="0593FD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交货地点：</w:t>
      </w:r>
    </w:p>
    <w:p w14:paraId="182328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2.项目安装：制作岗亭1套、空调1台、工作台1台等配套设施，负责安装；并对岗亭规划点树木进行移栽。</w:t>
      </w:r>
    </w:p>
    <w:p w14:paraId="097857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3.按照本合同及国家相关规定进行验收。由甲方组织，乙方配合进行：</w:t>
      </w:r>
    </w:p>
    <w:p w14:paraId="66C36E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（1）货物在交货后3日内进行验收。</w:t>
      </w:r>
    </w:p>
    <w:p w14:paraId="1D2A50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（2）验收标准：按国家有关规定以及本合同约定标准进行验收。</w:t>
      </w:r>
    </w:p>
    <w:p w14:paraId="0B38C9B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（3）验收时如发现所交付的货物有短装、次品、损坏或其它不符合标准及本合同规定之情形者，甲方应做出详尽的现场记录，或由双方签署备忘录，此现场 记录或备忘录可用作补充、缺失和更换损坏部件的有效证据，由此产生的时间延误与有关费用由乙方承担，验收期限相应顺延。</w:t>
      </w:r>
    </w:p>
    <w:p w14:paraId="528C93E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（4）如质量验收合格，双方签署质量验收报告。</w:t>
      </w:r>
    </w:p>
    <w:p w14:paraId="258EC3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3.货物交货完毕后7日内，乙方须提交书面验收申请，甲方收到乙方验收申请后无故不进行验收工作并已使用货物的，视同验收合格。</w:t>
      </w:r>
    </w:p>
    <w:p w14:paraId="74178F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4.乙方应将所提供货物的装箱清单、配件、随机工具、用户使用手册、原厂保修卡等资料交付给甲方；乙方不能完整交付货物及本款规定的单证和工具的，必须负责补齐，否则视为未按合同约定交货。</w:t>
      </w:r>
    </w:p>
    <w:p w14:paraId="19A6FF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5.如货物经乙方三次更换仍不能达到合同约定的质量标准，甲方有权退货，并视作乙方不能交付货物且须支付违约赔偿金给甲方，甲方还可依法追究乙方的违约责任。</w:t>
      </w:r>
    </w:p>
    <w:p w14:paraId="097B3598">
      <w:pPr>
        <w:numPr>
          <w:ilvl w:val="0"/>
          <w:numId w:val="0"/>
        </w:numPr>
        <w:spacing w:line="560" w:lineRule="exact"/>
        <w:ind w:left="1360" w:leftChars="0" w:hanging="720" w:firstLineChars="0"/>
        <w:rPr>
          <w:rFonts w:hint="eastAsia" w:ascii="Times New Roman" w:hAnsi="Times New Roman" w:eastAsia="方正黑体简体" w:cs="Times New Roman"/>
          <w:kern w:val="2"/>
          <w:sz w:val="32"/>
          <w:szCs w:val="32"/>
          <w:lang w:val="en-US" w:eastAsia="zh-CN" w:bidi="ar-SA"/>
        </w:rPr>
      </w:pPr>
      <w:r>
        <w:rPr>
          <w:rFonts w:hint="eastAsia" w:ascii="Times New Roman" w:hAnsi="Times New Roman" w:eastAsia="方正黑体简体" w:cs="Times New Roman"/>
          <w:kern w:val="2"/>
          <w:sz w:val="32"/>
          <w:szCs w:val="32"/>
          <w:lang w:val="en-US" w:eastAsia="zh-CN" w:bidi="ar-SA"/>
        </w:rPr>
        <w:t>六、付款方式</w:t>
      </w:r>
    </w:p>
    <w:p w14:paraId="75EC955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1.合同签订后15天内支付合同金额</w:t>
      </w:r>
      <w:r>
        <w:rPr>
          <w:rFonts w:hint="eastAsia" w:ascii="Times New Roman" w:hAnsi="Times New Roman" w:eastAsia="方正仿宋简体" w:cs="Times New Roman"/>
          <w:b w:val="0"/>
          <w:bCs/>
          <w:kern w:val="2"/>
          <w:sz w:val="32"/>
          <w:szCs w:val="32"/>
          <w:u w:val="single"/>
          <w:lang w:val="en-US" w:eastAsia="zh-CN" w:bidi="ar-SA"/>
        </w:rPr>
        <w:t xml:space="preserve"> 30 </w:t>
      </w:r>
      <w:r>
        <w:rPr>
          <w:rFonts w:hint="eastAsia" w:ascii="Times New Roman" w:hAnsi="Times New Roman" w:eastAsia="方正仿宋简体" w:cs="Times New Roman"/>
          <w:b w:val="0"/>
          <w:bCs/>
          <w:kern w:val="2"/>
          <w:sz w:val="32"/>
          <w:szCs w:val="32"/>
          <w:lang w:val="en-US" w:eastAsia="zh-CN" w:bidi="ar-SA"/>
        </w:rPr>
        <w:t>%,即：___________元（大写_____________），岗亭安装、树木移栽完成后经采购人验收合格后15天内支付至合同金额的</w:t>
      </w:r>
      <w:r>
        <w:rPr>
          <w:rFonts w:hint="eastAsia" w:ascii="Times New Roman" w:hAnsi="Times New Roman" w:eastAsia="方正仿宋简体" w:cs="Times New Roman"/>
          <w:b w:val="0"/>
          <w:bCs/>
          <w:kern w:val="2"/>
          <w:sz w:val="32"/>
          <w:szCs w:val="32"/>
          <w:u w:val="single"/>
          <w:lang w:val="en-US" w:eastAsia="zh-CN" w:bidi="ar-SA"/>
        </w:rPr>
        <w:t xml:space="preserve"> 97 </w:t>
      </w:r>
      <w:r>
        <w:rPr>
          <w:rFonts w:hint="eastAsia" w:ascii="Times New Roman" w:hAnsi="Times New Roman" w:eastAsia="方正仿宋简体" w:cs="Times New Roman"/>
          <w:b w:val="0"/>
          <w:bCs/>
          <w:kern w:val="2"/>
          <w:sz w:val="32"/>
          <w:szCs w:val="32"/>
          <w:lang w:val="en-US" w:eastAsia="zh-CN" w:bidi="ar-SA"/>
        </w:rPr>
        <w:t>%, 即:______________元（大写：___________），质保期满且无质量问题，付清剩余</w:t>
      </w:r>
      <w:r>
        <w:rPr>
          <w:rFonts w:hint="eastAsia" w:ascii="Times New Roman" w:hAnsi="Times New Roman" w:eastAsia="方正仿宋简体" w:cs="Times New Roman"/>
          <w:b w:val="0"/>
          <w:bCs/>
          <w:kern w:val="2"/>
          <w:sz w:val="32"/>
          <w:szCs w:val="32"/>
          <w:u w:val="single"/>
          <w:lang w:val="en-US" w:eastAsia="zh-CN" w:bidi="ar-SA"/>
        </w:rPr>
        <w:t xml:space="preserve"> 3 </w:t>
      </w:r>
      <w:r>
        <w:rPr>
          <w:rFonts w:hint="eastAsia" w:ascii="Times New Roman" w:hAnsi="Times New Roman" w:eastAsia="方正仿宋简体" w:cs="Times New Roman"/>
          <w:b w:val="0"/>
          <w:bCs/>
          <w:kern w:val="2"/>
          <w:sz w:val="32"/>
          <w:szCs w:val="32"/>
          <w:lang w:val="en-US" w:eastAsia="zh-CN" w:bidi="ar-SA"/>
        </w:rPr>
        <w:t>%尾款，即：__________元。其中税率为__________%，税额即：__________元。</w:t>
      </w:r>
    </w:p>
    <w:p w14:paraId="0C6A188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2.供应商须向采购人出具合法有效完整的完税发票（增值税专用发票）及凭证资料进行支付结算，逾期提交的，采购人有权延期支付且不承担违约责任。</w:t>
      </w:r>
    </w:p>
    <w:p w14:paraId="759ED248">
      <w:pPr>
        <w:numPr>
          <w:ilvl w:val="0"/>
          <w:numId w:val="0"/>
        </w:numPr>
        <w:spacing w:line="560" w:lineRule="exact"/>
        <w:ind w:left="1360" w:leftChars="0" w:hanging="720" w:firstLineChars="0"/>
        <w:rPr>
          <w:rFonts w:hint="eastAsia" w:ascii="Times New Roman" w:hAnsi="Times New Roman" w:eastAsia="方正黑体简体" w:cs="Times New Roman"/>
          <w:kern w:val="2"/>
          <w:sz w:val="32"/>
          <w:szCs w:val="32"/>
          <w:lang w:val="en-US" w:eastAsia="zh-CN" w:bidi="ar-SA"/>
        </w:rPr>
      </w:pPr>
      <w:r>
        <w:rPr>
          <w:rFonts w:hint="eastAsia" w:ascii="Times New Roman" w:hAnsi="Times New Roman" w:eastAsia="方正黑体简体" w:cs="Times New Roman"/>
          <w:kern w:val="2"/>
          <w:sz w:val="32"/>
          <w:szCs w:val="32"/>
          <w:lang w:val="en-US" w:eastAsia="zh-CN" w:bidi="ar-SA"/>
        </w:rPr>
        <w:t>七、售后服务</w:t>
      </w:r>
    </w:p>
    <w:p w14:paraId="7CE8FD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1.运输、安装、调试由乙方负责。</w:t>
      </w:r>
    </w:p>
    <w:p w14:paraId="05C420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2.乙方应提供现场技术培训，保证使用人员正常使用。</w:t>
      </w:r>
    </w:p>
    <w:p w14:paraId="338B19A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3.乙方须指派专人负责与甲方联系售后服务事宜。</w:t>
      </w:r>
    </w:p>
    <w:p w14:paraId="187D4F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联系人：</w:t>
      </w:r>
    </w:p>
    <w:p w14:paraId="4E176D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联系电话：</w:t>
      </w:r>
    </w:p>
    <w:p w14:paraId="3CB312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4.质保期为验收合格后壹年，质保期内出现质量问题，乙方在接到通知后2小时内响应到场，24小时内完成维修或更换，并承担修理或更换的费用；如货物经乙方2次更换仍不能达到本合同约定的质量标准，视作乙方未能按时交货，甲方有权退货并追究乙方的违约责任。货到现场后由于甲方使用不当或其他原因造成的问题，乙方亦应负责修复，但费用由甲方负担。</w:t>
      </w:r>
    </w:p>
    <w:p w14:paraId="78CB9B73">
      <w:pPr>
        <w:numPr>
          <w:ilvl w:val="0"/>
          <w:numId w:val="0"/>
        </w:numPr>
        <w:spacing w:line="560" w:lineRule="exact"/>
        <w:ind w:left="1360" w:leftChars="0" w:hanging="720" w:firstLineChars="0"/>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黑体简体" w:cs="Times New Roman"/>
          <w:kern w:val="2"/>
          <w:sz w:val="32"/>
          <w:szCs w:val="32"/>
          <w:lang w:val="en-US" w:eastAsia="zh-CN" w:bidi="ar-SA"/>
        </w:rPr>
        <w:t>八、违约责任</w:t>
      </w:r>
    </w:p>
    <w:p w14:paraId="490B4F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1.乙方交付的货物质量不符合合同规定的，乙方应向甲方支付合同总价 的百分之十的违约金，并须在合同规定的交货时间内更换合格的货物给甲方，否则，视作乙方不能交付货物而违约，按本条本款下述第“2”项规定由乙方偿付违约赔偿金给甲方。</w:t>
      </w:r>
    </w:p>
    <w:p w14:paraId="1B6B36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2.乙方不能交付货物或逾期交付货物而违约的，除应及时交足货物外，应向甲方偿付逾期交货部分货款总额的万分之五/天的违约金；逾期交货超过180天，甲方有权终止合同，乙方则应按合同总价的百分之十的款额向甲方偿付赔偿金，并须全额退还甲方已经付给乙方的货款及其利息。</w:t>
      </w:r>
    </w:p>
    <w:p w14:paraId="4FBFB2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3.乙方货物经甲方送交具有法定资格条件的质量技术监督机构检测后，如检测结果认定货物质量不符合本合同规定标准的，则视为乙方没有按时和按质交货而违约，乙方须在15天内无条件更换合格的货物，如逾期不能更换合格的货物，甲方有权终止本合同，乙方应另付合同总价的百分之十的赔偿金给甲方。</w:t>
      </w:r>
    </w:p>
    <w:p w14:paraId="307739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十向甲方支付违约金。</w:t>
      </w:r>
    </w:p>
    <w:p w14:paraId="7CA87BB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5.乙方不履行或迟延履行售后维保义务的，每发生一次，应向甲方支付合同总价款百分之一的违约金，且甲方有权委托第三方维保，由此发生的维保费用由乙方承担。</w:t>
      </w:r>
    </w:p>
    <w:p w14:paraId="269C7D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6.乙方偿付的违约金不足以弥补甲方损失的，还应按甲方损失尚未弥补的部分，支付赔偿金给甲方。</w:t>
      </w:r>
    </w:p>
    <w:p w14:paraId="28F9A89D">
      <w:pPr>
        <w:numPr>
          <w:ilvl w:val="0"/>
          <w:numId w:val="0"/>
        </w:numPr>
        <w:spacing w:line="560" w:lineRule="exact"/>
        <w:ind w:left="1360" w:leftChars="0" w:hanging="720" w:firstLineChars="0"/>
        <w:rPr>
          <w:rFonts w:hint="eastAsia" w:ascii="Times New Roman" w:hAnsi="Times New Roman" w:eastAsia="方正黑体简体" w:cs="Times New Roman"/>
          <w:kern w:val="2"/>
          <w:sz w:val="32"/>
          <w:szCs w:val="32"/>
          <w:lang w:val="en-US" w:eastAsia="zh-CN" w:bidi="ar-SA"/>
        </w:rPr>
      </w:pPr>
      <w:r>
        <w:rPr>
          <w:rFonts w:hint="eastAsia" w:ascii="Times New Roman" w:hAnsi="Times New Roman" w:eastAsia="方正黑体简体" w:cs="Times New Roman"/>
          <w:kern w:val="2"/>
          <w:sz w:val="32"/>
          <w:szCs w:val="32"/>
          <w:lang w:val="en-US" w:eastAsia="zh-CN" w:bidi="ar-SA"/>
        </w:rPr>
        <w:t>九、争议解决办法</w:t>
      </w:r>
    </w:p>
    <w:p w14:paraId="04CA2B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1.因货物的质量问题发生争议，由质量技术监督部门或其指定的质量鉴定机构进行质量鉴定。货物符合标准的，鉴定费由甲方承担；货物不符合质量标准的，鉴定费由乙方承担。</w:t>
      </w:r>
    </w:p>
    <w:p w14:paraId="6269B4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2.合同履行期间，若双方发生争议，可协商或由有关部门调解解决，协商或调解不成的，由当事人依法向甲方住所地人民法院提起诉讼以维护其合法权益。</w:t>
      </w:r>
    </w:p>
    <w:p w14:paraId="2CE299CD">
      <w:pPr>
        <w:numPr>
          <w:ilvl w:val="0"/>
          <w:numId w:val="0"/>
        </w:numPr>
        <w:spacing w:line="560" w:lineRule="exact"/>
        <w:ind w:left="1360" w:leftChars="0" w:hanging="720" w:firstLineChars="0"/>
        <w:rPr>
          <w:rFonts w:hint="eastAsia" w:ascii="Times New Roman" w:hAnsi="Times New Roman" w:eastAsia="方正黑体简体" w:cs="Times New Roman"/>
          <w:kern w:val="2"/>
          <w:sz w:val="32"/>
          <w:szCs w:val="32"/>
          <w:lang w:val="en-US" w:eastAsia="zh-CN" w:bidi="ar-SA"/>
        </w:rPr>
      </w:pPr>
      <w:r>
        <w:rPr>
          <w:rFonts w:hint="eastAsia" w:ascii="Times New Roman" w:hAnsi="Times New Roman" w:eastAsia="方正黑体简体" w:cs="Times New Roman"/>
          <w:kern w:val="2"/>
          <w:sz w:val="32"/>
          <w:szCs w:val="32"/>
          <w:lang w:val="en-US" w:eastAsia="zh-CN" w:bidi="ar-SA"/>
        </w:rPr>
        <w:t>十、其他</w:t>
      </w:r>
    </w:p>
    <w:p w14:paraId="10F0FD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1.如有未尽事宜，由双方依法订立补充合同。</w:t>
      </w:r>
    </w:p>
    <w:p w14:paraId="61E796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2.本合同双方应加盖骑缝章。</w:t>
      </w:r>
    </w:p>
    <w:p w14:paraId="02EC46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3.本合同一式肆份，甲乙双方各贰份。具有同等法律效力。</w:t>
      </w:r>
    </w:p>
    <w:p w14:paraId="09E20BE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highlight w:val="none"/>
          <w:lang w:val="en-US" w:eastAsia="zh-CN" w:bidi="ar-SA"/>
        </w:rPr>
      </w:pPr>
      <w:r>
        <w:rPr>
          <w:rFonts w:hint="eastAsia" w:ascii="Times New Roman" w:hAnsi="Times New Roman" w:eastAsia="方正仿宋简体" w:cs="Times New Roman"/>
          <w:b w:val="0"/>
          <w:bCs/>
          <w:kern w:val="2"/>
          <w:sz w:val="32"/>
          <w:szCs w:val="32"/>
          <w:highlight w:val="none"/>
          <w:lang w:val="en-US" w:eastAsia="zh-CN" w:bidi="ar-SA"/>
        </w:rPr>
        <w:t>4.合同附件如下：</w:t>
      </w:r>
    </w:p>
    <w:p w14:paraId="5386E6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highlight w:val="yellow"/>
          <w:lang w:val="en-US" w:eastAsia="zh-CN" w:bidi="ar-SA"/>
        </w:rPr>
      </w:pPr>
      <w:r>
        <w:rPr>
          <w:rFonts w:hint="eastAsia" w:ascii="Times New Roman" w:hAnsi="Times New Roman" w:eastAsia="方正仿宋简体" w:cs="Times New Roman"/>
          <w:b w:val="0"/>
          <w:bCs/>
          <w:kern w:val="2"/>
          <w:sz w:val="32"/>
          <w:szCs w:val="32"/>
          <w:highlight w:val="none"/>
          <w:lang w:val="en-US" w:eastAsia="zh-CN" w:bidi="ar-SA"/>
        </w:rPr>
        <w:t>产品参数</w:t>
      </w:r>
    </w:p>
    <w:p w14:paraId="123F26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highlight w:val="none"/>
          <w:lang w:val="en-US" w:eastAsia="zh-CN" w:bidi="ar-SA"/>
        </w:rPr>
      </w:pPr>
      <w:r>
        <w:rPr>
          <w:rFonts w:hint="eastAsia" w:ascii="Times New Roman" w:hAnsi="Times New Roman" w:eastAsia="方正仿宋简体" w:cs="Times New Roman"/>
          <w:b w:val="0"/>
          <w:bCs/>
          <w:kern w:val="2"/>
          <w:sz w:val="32"/>
          <w:szCs w:val="32"/>
          <w:highlight w:val="none"/>
          <w:lang w:val="en-US" w:eastAsia="zh-CN" w:bidi="ar-SA"/>
        </w:rPr>
        <w:t>（以下无正文，为双方签字盖章栏。）</w:t>
      </w:r>
    </w:p>
    <w:p w14:paraId="3D5C16B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方正仿宋简体" w:cs="Times New Roman"/>
          <w:b w:val="0"/>
          <w:bCs/>
          <w:kern w:val="2"/>
          <w:sz w:val="32"/>
          <w:szCs w:val="32"/>
          <w:lang w:val="en-US" w:eastAsia="zh-CN" w:bidi="ar-SA"/>
        </w:rPr>
      </w:pPr>
    </w:p>
    <w:p w14:paraId="3468E2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p>
    <w:p w14:paraId="5ECEB11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甲方：                      乙方：</w:t>
      </w:r>
    </w:p>
    <w:p w14:paraId="55558F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法定代表人或授权代表：      法定代表人或授权代表：</w:t>
      </w:r>
    </w:p>
    <w:p w14:paraId="268AC3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地    址：                  地    址：</w:t>
      </w:r>
    </w:p>
    <w:p w14:paraId="4A3ED1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开户银行：                  开户银行：</w:t>
      </w:r>
    </w:p>
    <w:p w14:paraId="75985E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账   号：                   账   号：</w:t>
      </w:r>
    </w:p>
    <w:p w14:paraId="648A646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电   话：                   电   话：</w:t>
      </w:r>
    </w:p>
    <w:p w14:paraId="1CB3E3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传   真：                   传   真：</w:t>
      </w:r>
    </w:p>
    <w:p w14:paraId="43D4F8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签约日期：                  签约日期：</w:t>
      </w:r>
    </w:p>
    <w:p w14:paraId="7FA37FE8">
      <w:pPr>
        <w:rPr>
          <w:rFonts w:hint="eastAsia" w:ascii="宋体" w:hAnsi="宋体" w:eastAsia="宋体" w:cs="宋体"/>
          <w:sz w:val="24"/>
          <w:szCs w:val="24"/>
        </w:rPr>
      </w:pPr>
    </w:p>
    <w:p w14:paraId="4CB2143E">
      <w:pPr>
        <w:rPr>
          <w:rFonts w:hint="eastAsia" w:ascii="宋体" w:hAnsi="宋体" w:eastAsia="宋体" w:cs="宋体"/>
          <w:sz w:val="24"/>
          <w:szCs w:val="24"/>
        </w:rPr>
      </w:pPr>
    </w:p>
    <w:p w14:paraId="435DA1D8">
      <w:pPr>
        <w:rPr>
          <w:rFonts w:hint="eastAsia" w:ascii="宋体" w:hAnsi="宋体" w:eastAsia="宋体" w:cs="宋体"/>
          <w:sz w:val="24"/>
          <w:szCs w:val="24"/>
        </w:rPr>
      </w:pPr>
    </w:p>
    <w:p w14:paraId="50C03514">
      <w:pPr>
        <w:rPr>
          <w:rFonts w:hint="eastAsia" w:ascii="宋体" w:hAnsi="宋体" w:eastAsia="宋体" w:cs="宋体"/>
          <w:sz w:val="24"/>
          <w:szCs w:val="24"/>
        </w:rPr>
      </w:pPr>
    </w:p>
    <w:p w14:paraId="1814A8C1">
      <w:pPr>
        <w:rPr>
          <w:rFonts w:hint="eastAsia" w:ascii="宋体" w:hAnsi="宋体" w:eastAsia="宋体" w:cs="宋体"/>
          <w:sz w:val="24"/>
          <w:szCs w:val="24"/>
        </w:rPr>
      </w:pPr>
    </w:p>
    <w:p w14:paraId="5449A60C">
      <w:pPr>
        <w:rPr>
          <w:rFonts w:hint="eastAsia" w:ascii="宋体" w:hAnsi="宋体" w:eastAsia="宋体" w:cs="宋体"/>
          <w:sz w:val="24"/>
          <w:szCs w:val="24"/>
        </w:rPr>
      </w:pPr>
    </w:p>
    <w:p w14:paraId="57B32773">
      <w:pPr>
        <w:rPr>
          <w:rFonts w:hint="eastAsia" w:ascii="宋体" w:hAnsi="宋体" w:eastAsia="宋体" w:cs="宋体"/>
          <w:sz w:val="24"/>
          <w:szCs w:val="24"/>
        </w:rPr>
      </w:pPr>
    </w:p>
    <w:p w14:paraId="4956DFAD">
      <w:pPr>
        <w:rPr>
          <w:rFonts w:hint="eastAsia" w:ascii="宋体" w:hAnsi="宋体" w:eastAsia="宋体" w:cs="宋体"/>
          <w:sz w:val="24"/>
          <w:szCs w:val="24"/>
        </w:rPr>
      </w:pPr>
    </w:p>
    <w:p w14:paraId="76C0BF1D">
      <w:pPr>
        <w:rPr>
          <w:rFonts w:hint="eastAsia" w:ascii="宋体" w:hAnsi="宋体" w:eastAsia="宋体" w:cs="宋体"/>
          <w:sz w:val="24"/>
          <w:szCs w:val="24"/>
        </w:rPr>
      </w:pPr>
    </w:p>
    <w:p w14:paraId="355D7372">
      <w:pPr>
        <w:rPr>
          <w:rFonts w:hint="eastAsia" w:ascii="宋体" w:hAnsi="宋体" w:eastAsia="宋体" w:cs="宋体"/>
          <w:sz w:val="24"/>
          <w:szCs w:val="24"/>
        </w:rPr>
      </w:pPr>
    </w:p>
    <w:p w14:paraId="4FDCD354">
      <w:pPr>
        <w:rPr>
          <w:rFonts w:hint="eastAsia" w:ascii="宋体" w:hAnsi="宋体" w:eastAsia="宋体" w:cs="宋体"/>
          <w:sz w:val="24"/>
          <w:szCs w:val="24"/>
        </w:rPr>
      </w:pPr>
    </w:p>
    <w:p w14:paraId="5A36F1E5">
      <w:pPr>
        <w:rPr>
          <w:rFonts w:hint="eastAsia" w:ascii="宋体" w:hAnsi="宋体" w:eastAsia="宋体" w:cs="宋体"/>
          <w:sz w:val="24"/>
          <w:szCs w:val="24"/>
        </w:rPr>
      </w:pPr>
    </w:p>
    <w:p w14:paraId="555CB6B3">
      <w:pPr>
        <w:rPr>
          <w:rFonts w:hint="eastAsia" w:ascii="宋体" w:hAnsi="宋体" w:eastAsia="宋体" w:cs="宋体"/>
          <w:sz w:val="24"/>
          <w:szCs w:val="24"/>
        </w:rPr>
      </w:pPr>
    </w:p>
    <w:p w14:paraId="5CE4CBC7">
      <w:pPr>
        <w:rPr>
          <w:rFonts w:hint="eastAsia" w:ascii="宋体" w:hAnsi="宋体" w:eastAsia="宋体" w:cs="宋体"/>
          <w:sz w:val="24"/>
          <w:szCs w:val="24"/>
        </w:rPr>
      </w:pPr>
    </w:p>
    <w:p w14:paraId="30D48840">
      <w:pPr>
        <w:rPr>
          <w:rFonts w:hint="eastAsia" w:ascii="宋体" w:hAnsi="宋体" w:eastAsia="宋体" w:cs="宋体"/>
          <w:sz w:val="24"/>
          <w:szCs w:val="24"/>
        </w:rPr>
      </w:pPr>
    </w:p>
    <w:p w14:paraId="7A3A3BC6">
      <w:pPr>
        <w:rPr>
          <w:rFonts w:hint="eastAsia" w:ascii="宋体" w:hAnsi="宋体" w:eastAsia="宋体" w:cs="宋体"/>
          <w:sz w:val="24"/>
          <w:szCs w:val="24"/>
        </w:rPr>
      </w:pPr>
    </w:p>
    <w:p w14:paraId="7FE331C4">
      <w:pPr>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val="en-US" w:eastAsia="zh-CN"/>
        </w:rPr>
        <w:t>附件</w:t>
      </w:r>
    </w:p>
    <w:tbl>
      <w:tblPr>
        <w:tblStyle w:val="3"/>
        <w:tblpPr w:leftFromText="180" w:rightFromText="180" w:vertAnchor="text" w:horzAnchor="page" w:tblpX="1605" w:tblpY="234"/>
        <w:tblOverlap w:val="never"/>
        <w:tblW w:w="90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50"/>
        <w:gridCol w:w="960"/>
        <w:gridCol w:w="583"/>
        <w:gridCol w:w="737"/>
        <w:gridCol w:w="6030"/>
      </w:tblGrid>
      <w:tr w14:paraId="6B6EB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50" w:type="dxa"/>
            <w:tcBorders>
              <w:top w:val="single" w:color="000000" w:sz="4" w:space="0"/>
              <w:left w:val="single" w:color="000000" w:sz="4" w:space="0"/>
              <w:bottom w:val="single" w:color="000000" w:sz="4" w:space="0"/>
              <w:right w:val="single" w:color="000000" w:sz="4" w:space="0"/>
            </w:tcBorders>
            <w:noWrap/>
            <w:vAlign w:val="center"/>
          </w:tcPr>
          <w:p w14:paraId="5F6181FD">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序号</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18736266">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名称</w:t>
            </w:r>
          </w:p>
        </w:tc>
        <w:tc>
          <w:tcPr>
            <w:tcW w:w="583" w:type="dxa"/>
            <w:tcBorders>
              <w:top w:val="single" w:color="000000" w:sz="4" w:space="0"/>
              <w:left w:val="single" w:color="000000" w:sz="4" w:space="0"/>
              <w:bottom w:val="single" w:color="000000" w:sz="4" w:space="0"/>
              <w:right w:val="single" w:color="000000" w:sz="4" w:space="0"/>
            </w:tcBorders>
            <w:noWrap/>
            <w:vAlign w:val="center"/>
          </w:tcPr>
          <w:p w14:paraId="6BA2052A">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单位</w:t>
            </w:r>
          </w:p>
        </w:tc>
        <w:tc>
          <w:tcPr>
            <w:tcW w:w="737" w:type="dxa"/>
            <w:tcBorders>
              <w:top w:val="single" w:color="000000" w:sz="4" w:space="0"/>
              <w:left w:val="single" w:color="000000" w:sz="4" w:space="0"/>
              <w:bottom w:val="single" w:color="000000" w:sz="4" w:space="0"/>
              <w:right w:val="single" w:color="000000" w:sz="4" w:space="0"/>
            </w:tcBorders>
            <w:noWrap/>
            <w:vAlign w:val="center"/>
          </w:tcPr>
          <w:p w14:paraId="3212EE9B">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数量</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67D2D930">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参数</w:t>
            </w:r>
          </w:p>
        </w:tc>
      </w:tr>
      <w:tr w14:paraId="36098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750" w:type="dxa"/>
            <w:tcBorders>
              <w:top w:val="single" w:color="000000" w:sz="4" w:space="0"/>
              <w:left w:val="single" w:color="000000" w:sz="4" w:space="0"/>
              <w:bottom w:val="single" w:color="000000" w:sz="4" w:space="0"/>
              <w:right w:val="single" w:color="000000" w:sz="4" w:space="0"/>
            </w:tcBorders>
            <w:noWrap/>
            <w:vAlign w:val="center"/>
          </w:tcPr>
          <w:p w14:paraId="205BEC3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1810C13A">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岗亭</w:t>
            </w:r>
          </w:p>
        </w:tc>
        <w:tc>
          <w:tcPr>
            <w:tcW w:w="583" w:type="dxa"/>
            <w:tcBorders>
              <w:top w:val="single" w:color="000000" w:sz="4" w:space="0"/>
              <w:left w:val="single" w:color="000000" w:sz="4" w:space="0"/>
              <w:bottom w:val="single" w:color="000000" w:sz="4" w:space="0"/>
              <w:right w:val="single" w:color="000000" w:sz="4" w:space="0"/>
            </w:tcBorders>
            <w:noWrap/>
            <w:vAlign w:val="center"/>
          </w:tcPr>
          <w:p w14:paraId="2F19EB23">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套</w:t>
            </w:r>
          </w:p>
        </w:tc>
        <w:tc>
          <w:tcPr>
            <w:tcW w:w="737" w:type="dxa"/>
            <w:tcBorders>
              <w:top w:val="single" w:color="000000" w:sz="4" w:space="0"/>
              <w:left w:val="single" w:color="000000" w:sz="4" w:space="0"/>
              <w:bottom w:val="single" w:color="000000" w:sz="4" w:space="0"/>
              <w:right w:val="single" w:color="000000" w:sz="4" w:space="0"/>
            </w:tcBorders>
            <w:noWrap/>
            <w:vAlign w:val="center"/>
          </w:tcPr>
          <w:p w14:paraId="3B3B5DC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6030" w:type="dxa"/>
            <w:tcBorders>
              <w:top w:val="single" w:color="000000" w:sz="4" w:space="0"/>
              <w:left w:val="single" w:color="000000" w:sz="4" w:space="0"/>
              <w:bottom w:val="single" w:color="000000" w:sz="4" w:space="0"/>
              <w:right w:val="single" w:color="000000" w:sz="4" w:space="0"/>
            </w:tcBorders>
            <w:noWrap w:val="0"/>
            <w:vAlign w:val="top"/>
          </w:tcPr>
          <w:p w14:paraId="16D76969">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 xml:space="preserve">1.外形尺寸：3m*2m*2.6m（长*宽*高） </w:t>
            </w:r>
          </w:p>
          <w:p w14:paraId="28EF80BE">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2.钢结构框架：</w:t>
            </w:r>
          </w:p>
          <w:p w14:paraId="2DDFFBBC">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2.1 立柱：50*2mm镀锌矩管</w:t>
            </w:r>
          </w:p>
          <w:p w14:paraId="1C3FDD5E">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2.2 顶盖：100*50*2mm 镀锌矩管上横梁、80*40*2mm镀锌矩管顶主龙骨间距1200mm、50*30*2mm镀锌矩管间距600mm</w:t>
            </w:r>
          </w:p>
          <w:p w14:paraId="24C53046">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2.3 底盘：120*60*2底横梁、100*50*2mm镀锌矩管主龙骨间距600mm</w:t>
            </w:r>
          </w:p>
          <w:p w14:paraId="5E77F85B">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3.装饰装修及围护部分：</w:t>
            </w:r>
          </w:p>
          <w:p w14:paraId="7A5BC443">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3.1 外顶面：50mm厚岩棉夹芯板，彩钢板厚度：0.4mm</w:t>
            </w:r>
          </w:p>
          <w:p w14:paraId="538CF8C4">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3.2 墙板：50mm厚岩棉夹芯板，彩钢板厚度：0.4mm</w:t>
            </w:r>
          </w:p>
          <w:p w14:paraId="3E0EF3CF">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3.3 吊顶面层：400mm宽竹木纤维集成板</w:t>
            </w:r>
          </w:p>
          <w:p w14:paraId="759AF2A8">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3.4 内墙面面层：400mm宽竹木纤维集成墙板</w:t>
            </w:r>
          </w:p>
          <w:p w14:paraId="3BE2EF4C">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3.5 地面：10mm厚水泥压力板，面层8mm厚强化木地板；</w:t>
            </w:r>
          </w:p>
          <w:p w14:paraId="456890F9">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4.门窗：</w:t>
            </w:r>
          </w:p>
          <w:p w14:paraId="6BB26605">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铝合金固定窗铝合金型材，玻璃：5+9+5双钢化中空磨砂玻璃</w:t>
            </w:r>
          </w:p>
          <w:p w14:paraId="6ABF41E8">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5.电器设备及洁具：</w:t>
            </w:r>
          </w:p>
          <w:p w14:paraId="4001FC87">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5.1 箱体内部线路预埋、灯线、开关插座预埋式安装</w:t>
            </w:r>
          </w:p>
          <w:p w14:paraId="5EFB1883">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default"/>
                <w:i w:val="0"/>
                <w:iCs w:val="0"/>
                <w:lang w:val="en-US" w:eastAsia="zh-CN" w:bidi="ar"/>
              </w:rPr>
            </w:pPr>
            <w:r>
              <w:rPr>
                <w:rStyle w:val="5"/>
                <w:rFonts w:hint="eastAsia"/>
                <w:i w:val="0"/>
                <w:iCs w:val="0"/>
                <w:lang w:val="en-US" w:eastAsia="zh-CN" w:bidi="ar"/>
              </w:rPr>
              <w:t>5.2 照明灯具：LED吸顶灯</w:t>
            </w:r>
          </w:p>
        </w:tc>
      </w:tr>
      <w:tr w14:paraId="26448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50" w:type="dxa"/>
            <w:tcBorders>
              <w:top w:val="single" w:color="000000" w:sz="4" w:space="0"/>
              <w:left w:val="single" w:color="000000" w:sz="4" w:space="0"/>
              <w:bottom w:val="single" w:color="000000" w:sz="4" w:space="0"/>
              <w:right w:val="single" w:color="000000" w:sz="4" w:space="0"/>
            </w:tcBorders>
            <w:noWrap/>
            <w:vAlign w:val="center"/>
          </w:tcPr>
          <w:p w14:paraId="7810170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4003DA3E">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空调</w:t>
            </w:r>
          </w:p>
        </w:tc>
        <w:tc>
          <w:tcPr>
            <w:tcW w:w="583" w:type="dxa"/>
            <w:tcBorders>
              <w:top w:val="single" w:color="000000" w:sz="4" w:space="0"/>
              <w:left w:val="single" w:color="000000" w:sz="4" w:space="0"/>
              <w:bottom w:val="single" w:color="000000" w:sz="4" w:space="0"/>
              <w:right w:val="single" w:color="000000" w:sz="4" w:space="0"/>
            </w:tcBorders>
            <w:noWrap/>
            <w:vAlign w:val="center"/>
          </w:tcPr>
          <w:p w14:paraId="48771582">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台</w:t>
            </w:r>
          </w:p>
        </w:tc>
        <w:tc>
          <w:tcPr>
            <w:tcW w:w="737" w:type="dxa"/>
            <w:tcBorders>
              <w:top w:val="single" w:color="000000" w:sz="4" w:space="0"/>
              <w:left w:val="single" w:color="000000" w:sz="4" w:space="0"/>
              <w:bottom w:val="single" w:color="000000" w:sz="4" w:space="0"/>
              <w:right w:val="single" w:color="000000" w:sz="4" w:space="0"/>
            </w:tcBorders>
            <w:noWrap/>
            <w:vAlign w:val="center"/>
          </w:tcPr>
          <w:p w14:paraId="582805A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6030" w:type="dxa"/>
            <w:tcBorders>
              <w:top w:val="single" w:color="000000" w:sz="4" w:space="0"/>
              <w:left w:val="single" w:color="000000" w:sz="4" w:space="0"/>
              <w:bottom w:val="single" w:color="000000" w:sz="4" w:space="0"/>
              <w:right w:val="single" w:color="000000" w:sz="4" w:space="0"/>
            </w:tcBorders>
            <w:noWrap w:val="0"/>
            <w:vAlign w:val="top"/>
          </w:tcPr>
          <w:p w14:paraId="4D461B72">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1.产品匹数：1.5P</w:t>
            </w:r>
          </w:p>
          <w:p w14:paraId="66AF99F8">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2.频率：变频</w:t>
            </w:r>
          </w:p>
          <w:p w14:paraId="1C0A04FD">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3.冷暖类型：冷暖</w:t>
            </w:r>
          </w:p>
          <w:p w14:paraId="029E0464">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4.能效等级：三级</w:t>
            </w:r>
          </w:p>
          <w:p w14:paraId="4BF1168F">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5.额度制冷量：3510W</w:t>
            </w:r>
          </w:p>
          <w:p w14:paraId="7E64EBE7">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default"/>
                <w:lang w:val="en-US" w:eastAsia="zh-CN" w:bidi="ar"/>
              </w:rPr>
            </w:pPr>
            <w:r>
              <w:rPr>
                <w:rStyle w:val="5"/>
                <w:rFonts w:hint="eastAsia"/>
                <w:i w:val="0"/>
                <w:iCs w:val="0"/>
                <w:lang w:val="en-US" w:eastAsia="zh-CN" w:bidi="ar"/>
              </w:rPr>
              <w:t>6.循环风量：720m³/h</w:t>
            </w:r>
          </w:p>
        </w:tc>
      </w:tr>
      <w:tr w14:paraId="3D5AD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50" w:type="dxa"/>
            <w:tcBorders>
              <w:top w:val="single" w:color="000000" w:sz="4" w:space="0"/>
              <w:left w:val="single" w:color="000000" w:sz="4" w:space="0"/>
              <w:bottom w:val="single" w:color="000000" w:sz="4" w:space="0"/>
              <w:right w:val="single" w:color="000000" w:sz="4" w:space="0"/>
            </w:tcBorders>
            <w:noWrap/>
            <w:vAlign w:val="center"/>
          </w:tcPr>
          <w:p w14:paraId="35A31B3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34319711">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工作台</w:t>
            </w:r>
          </w:p>
        </w:tc>
        <w:tc>
          <w:tcPr>
            <w:tcW w:w="583" w:type="dxa"/>
            <w:tcBorders>
              <w:top w:val="single" w:color="000000" w:sz="4" w:space="0"/>
              <w:left w:val="single" w:color="000000" w:sz="4" w:space="0"/>
              <w:bottom w:val="single" w:color="000000" w:sz="4" w:space="0"/>
              <w:right w:val="single" w:color="000000" w:sz="4" w:space="0"/>
            </w:tcBorders>
            <w:noWrap/>
            <w:vAlign w:val="center"/>
          </w:tcPr>
          <w:p w14:paraId="0CDE0BB9">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台</w:t>
            </w:r>
          </w:p>
        </w:tc>
        <w:tc>
          <w:tcPr>
            <w:tcW w:w="737" w:type="dxa"/>
            <w:tcBorders>
              <w:top w:val="single" w:color="000000" w:sz="4" w:space="0"/>
              <w:left w:val="single" w:color="000000" w:sz="4" w:space="0"/>
              <w:bottom w:val="single" w:color="000000" w:sz="4" w:space="0"/>
              <w:right w:val="single" w:color="000000" w:sz="4" w:space="0"/>
            </w:tcBorders>
            <w:noWrap/>
            <w:vAlign w:val="center"/>
          </w:tcPr>
          <w:p w14:paraId="140022C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6030" w:type="dxa"/>
            <w:tcBorders>
              <w:top w:val="single" w:color="000000" w:sz="4" w:space="0"/>
              <w:left w:val="single" w:color="000000" w:sz="4" w:space="0"/>
              <w:bottom w:val="single" w:color="000000" w:sz="4" w:space="0"/>
              <w:right w:val="single" w:color="000000" w:sz="4" w:space="0"/>
            </w:tcBorders>
            <w:noWrap w:val="0"/>
            <w:vAlign w:val="top"/>
          </w:tcPr>
          <w:p w14:paraId="46979BAC">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1.规格：2000mm×600mm×750mm（长*宽*高）</w:t>
            </w:r>
          </w:p>
          <w:p w14:paraId="5AF5D67F">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2.台面：木质台面</w:t>
            </w:r>
          </w:p>
          <w:p w14:paraId="4C07A8FD">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3.框架：冷轧方管，酸洗磷化+静电喷塑</w:t>
            </w:r>
          </w:p>
          <w:p w14:paraId="2D8BC154">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4.台面静载：≥250kg</w:t>
            </w:r>
          </w:p>
          <w:p w14:paraId="7C148077">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Fonts w:hint="default" w:ascii="Times New Roman" w:hAnsi="Times New Roman" w:eastAsia="宋体" w:cs="Times New Roman"/>
                <w:i w:val="0"/>
                <w:iCs w:val="0"/>
                <w:color w:val="000000"/>
                <w:sz w:val="20"/>
                <w:szCs w:val="20"/>
                <w:u w:val="none"/>
              </w:rPr>
            </w:pPr>
            <w:r>
              <w:rPr>
                <w:rStyle w:val="5"/>
                <w:rFonts w:hint="eastAsia"/>
                <w:i w:val="0"/>
                <w:iCs w:val="0"/>
                <w:lang w:val="en-US" w:eastAsia="zh-CN" w:bidi="ar"/>
              </w:rPr>
              <w:t>5.抽屉：单侧吊二抽（2 个抽屉），带锁，三节静音钢珠滑轨</w:t>
            </w:r>
          </w:p>
        </w:tc>
      </w:tr>
    </w:tbl>
    <w:p w14:paraId="34145692">
      <w:pPr>
        <w:rPr>
          <w:rFonts w:hint="eastAsia" w:ascii="黑体" w:hAnsi="黑体" w:eastAsia="黑体" w:cs="黑体"/>
          <w:sz w:val="32"/>
          <w:szCs w:val="32"/>
          <w:lang w:val="en-US" w:eastAsia="zh-CN"/>
        </w:rPr>
      </w:pPr>
    </w:p>
    <w:p w14:paraId="26EFE92B">
      <w:pPr>
        <w:rPr>
          <w:rFonts w:hint="default" w:ascii="宋体" w:hAnsi="宋体" w:eastAsia="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C702187-2E5E-4720-90F2-AE5DCB3EC79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embedRegular r:id="rId2" w:fontKey="{055CD7CE-21B0-4707-83D8-92D4FC117D71}"/>
  </w:font>
  <w:font w:name="楷体_GB2312">
    <w:panose1 w:val="02010609030101010101"/>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embedRegular r:id="rId3" w:fontKey="{085C4398-9111-42BC-A7CA-D1988B60B791}"/>
  </w:font>
  <w:font w:name="方正黑体简体">
    <w:panose1 w:val="03000509000000000000"/>
    <w:charset w:val="86"/>
    <w:family w:val="script"/>
    <w:pitch w:val="default"/>
    <w:sig w:usb0="00000001" w:usb1="080E0000" w:usb2="00000000" w:usb3="00000000" w:csb0="00040000" w:csb1="00000000"/>
    <w:embedRegular r:id="rId4" w:fontKey="{150AF211-462E-4B4C-9E09-DEB5B0344C4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MTc1OWIxMWRjMTk5ZWYwMDIyNGFkOTE2NTgyNTkifQ=="/>
  </w:docVars>
  <w:rsids>
    <w:rsidRoot w:val="1B68060A"/>
    <w:rsid w:val="03800D34"/>
    <w:rsid w:val="051F1C74"/>
    <w:rsid w:val="092959CA"/>
    <w:rsid w:val="1B68060A"/>
    <w:rsid w:val="36A54032"/>
    <w:rsid w:val="417116E0"/>
    <w:rsid w:val="4C7D764E"/>
    <w:rsid w:val="609D79A4"/>
    <w:rsid w:val="797B41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character" w:customStyle="1" w:styleId="5">
    <w:name w:val="font61"/>
    <w:basedOn w:val="4"/>
    <w:qFormat/>
    <w:uiPriority w:val="0"/>
    <w:rPr>
      <w:rFonts w:hint="eastAsia" w:ascii="方正仿宋简体" w:hAnsi="方正仿宋简体" w:eastAsia="方正仿宋简体" w:cs="方正仿宋简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2870</Words>
  <Characters>3167</Characters>
  <Lines>0</Lines>
  <Paragraphs>0</Paragraphs>
  <TotalTime>17</TotalTime>
  <ScaleCrop>false</ScaleCrop>
  <LinksUpToDate>false</LinksUpToDate>
  <CharactersWithSpaces>3374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2026-10-29T00:30:00Z</dcterms:created>
  <dc:creator>Administrator</dc:creator>
  <cp:lastModifiedBy>赵洪彪</cp:lastModifiedBy>
  <dcterms:modified xsi:type="dcterms:W3CDTF">2026-10-29T08:11:58Z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16D5C32D15CA4C85A07FBD9B7B60254A_11</vt:lpwstr>
  </property>
  <property fmtid="{D5CDD505-2E9C-101B-9397-08002B2CF9AE}" pid="4" name="KSOTemplateDocerSaveRecord">
    <vt:lpwstr>eyJoZGlkIjoiMzY1MDMyN2MzOTRlM2JmODljNzIxZTI3OGEyYzIzOTIiLCJ1c2VySWQiOiIxNDIwNjYxMjIwIn0=</vt:lpwstr>
  </property>
</Properties>
</file>