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DB04E">
      <w:pPr>
        <w:bidi w:val="0"/>
        <w:rPr>
          <w:rFonts w:hint="eastAsia" w:ascii="黑体" w:hAnsi="黑体" w:eastAsia="黑体" w:cs="黑体"/>
          <w:sz w:val="32"/>
          <w:szCs w:val="28"/>
          <w:lang w:val="en-US" w:eastAsia="zh-CN"/>
        </w:rPr>
      </w:pPr>
      <w:bookmarkStart w:id="56" w:name="_GoBack"/>
      <w:bookmarkEnd w:id="56"/>
      <w:r>
        <w:rPr>
          <w:rFonts w:hint="eastAsia" w:ascii="黑体" w:hAnsi="黑体" w:eastAsia="黑体" w:cs="黑体"/>
          <w:sz w:val="32"/>
          <w:szCs w:val="28"/>
          <w:lang w:val="en-US" w:eastAsia="zh-CN"/>
        </w:rPr>
        <w:t>附件3</w:t>
      </w:r>
    </w:p>
    <w:p w14:paraId="1A27DE40">
      <w:pPr>
        <w:pStyle w:val="25"/>
        <w:keepNext w:val="0"/>
        <w:keepLines w:val="0"/>
        <w:pageBreakBefore w:val="0"/>
        <w:widowControl/>
        <w:kinsoku/>
        <w:wordWrap/>
        <w:overflowPunct/>
        <w:topLinePunct w:val="0"/>
        <w:autoSpaceDE/>
        <w:autoSpaceDN/>
        <w:bidi w:val="0"/>
        <w:adjustRightInd/>
        <w:snapToGrid/>
        <w:spacing w:before="0" w:after="313" w:afterLines="100" w:line="560" w:lineRule="exact"/>
        <w:ind w:left="0" w:leftChars="0" w:right="0" w:firstLine="0" w:firstLineChars="0"/>
        <w:jc w:val="center"/>
        <w:textAlignment w:val="auto"/>
        <w:rPr>
          <w:rFonts w:hint="eastAsia" w:ascii="宋体" w:hAnsi="宋体" w:eastAsia="宋体" w:cs="宋体"/>
          <w:b/>
          <w:bCs/>
          <w:i w:val="0"/>
          <w:spacing w:val="0"/>
          <w:sz w:val="36"/>
          <w:szCs w:val="36"/>
          <w:lang w:val="en-US" w:eastAsia="zh-CN"/>
        </w:rPr>
      </w:pPr>
      <w:bookmarkStart w:id="0" w:name="_Hlt101846155"/>
      <w:bookmarkEnd w:id="0"/>
      <w:bookmarkStart w:id="1" w:name="85c92c0d96cf423e83636a976f949f75"/>
      <w:r>
        <w:rPr>
          <w:rFonts w:hint="eastAsia" w:ascii="宋体" w:hAnsi="宋体" w:eastAsia="宋体" w:cs="宋体"/>
          <w:b/>
          <w:bCs/>
          <w:i w:val="0"/>
          <w:spacing w:val="0"/>
          <w:sz w:val="36"/>
          <w:szCs w:val="36"/>
          <w:lang w:val="en-US" w:eastAsia="zh-CN"/>
        </w:rPr>
        <w:t>广汉市各污水处理厂（站）</w:t>
      </w:r>
    </w:p>
    <w:p w14:paraId="640037DB">
      <w:pPr>
        <w:pStyle w:val="25"/>
        <w:keepNext w:val="0"/>
        <w:keepLines w:val="0"/>
        <w:pageBreakBefore w:val="0"/>
        <w:widowControl/>
        <w:kinsoku/>
        <w:wordWrap/>
        <w:overflowPunct/>
        <w:topLinePunct w:val="0"/>
        <w:autoSpaceDE/>
        <w:autoSpaceDN/>
        <w:bidi w:val="0"/>
        <w:adjustRightInd/>
        <w:snapToGrid/>
        <w:spacing w:before="0" w:after="313" w:afterLines="100" w:line="560" w:lineRule="exact"/>
        <w:ind w:left="0" w:leftChars="0" w:right="0" w:firstLine="0" w:firstLineChars="0"/>
        <w:jc w:val="center"/>
        <w:textAlignment w:val="auto"/>
        <w:rPr>
          <w:rFonts w:hint="eastAsia" w:ascii="宋体" w:hAnsi="宋体" w:eastAsia="宋体" w:cs="宋体"/>
          <w:b/>
          <w:bCs/>
          <w:sz w:val="36"/>
          <w:szCs w:val="36"/>
          <w:lang w:eastAsia="zh-CN"/>
        </w:rPr>
      </w:pPr>
      <w:r>
        <w:rPr>
          <w:rFonts w:hint="eastAsia" w:ascii="宋体" w:hAnsi="宋体" w:eastAsia="宋体" w:cs="宋体"/>
          <w:b/>
          <w:bCs/>
          <w:i w:val="0"/>
          <w:spacing w:val="0"/>
          <w:sz w:val="36"/>
          <w:szCs w:val="36"/>
          <w:lang w:val="en-US" w:eastAsia="zh-CN"/>
        </w:rPr>
        <w:t>视频数据采集服务项目采购</w:t>
      </w:r>
      <w:r>
        <w:rPr>
          <w:rFonts w:hint="eastAsia" w:ascii="宋体" w:hAnsi="宋体" w:eastAsia="宋体" w:cs="宋体"/>
          <w:b/>
          <w:bCs/>
          <w:i w:val="0"/>
          <w:spacing w:val="0"/>
          <w:sz w:val="36"/>
          <w:szCs w:val="36"/>
        </w:rPr>
        <w:t>合同</w:t>
      </w:r>
      <w:bookmarkEnd w:id="1"/>
      <w:r>
        <w:rPr>
          <w:rFonts w:hint="eastAsia" w:hAnsi="宋体" w:cs="宋体"/>
          <w:b/>
          <w:bCs/>
          <w:i w:val="0"/>
          <w:spacing w:val="0"/>
          <w:sz w:val="36"/>
          <w:szCs w:val="36"/>
          <w:lang w:eastAsia="zh-CN"/>
        </w:rPr>
        <w:t>（</w:t>
      </w:r>
      <w:r>
        <w:rPr>
          <w:rFonts w:hint="eastAsia" w:hAnsi="宋体" w:cs="宋体"/>
          <w:b/>
          <w:bCs/>
          <w:i w:val="0"/>
          <w:spacing w:val="0"/>
          <w:sz w:val="36"/>
          <w:szCs w:val="36"/>
          <w:lang w:val="en-US" w:eastAsia="zh-CN"/>
        </w:rPr>
        <w:t>以实际签订为准</w:t>
      </w:r>
      <w:r>
        <w:rPr>
          <w:rFonts w:hint="eastAsia" w:hAnsi="宋体" w:cs="宋体"/>
          <w:b/>
          <w:bCs/>
          <w:i w:val="0"/>
          <w:spacing w:val="0"/>
          <w:sz w:val="36"/>
          <w:szCs w:val="36"/>
          <w:lang w:eastAsia="zh-CN"/>
        </w:rPr>
        <w:t>）</w:t>
      </w:r>
    </w:p>
    <w:p w14:paraId="1B4203F8">
      <w:pPr>
        <w:pStyle w:val="25"/>
        <w:keepNext w:val="0"/>
        <w:keepLines w:val="0"/>
        <w:pageBreakBefore w:val="0"/>
        <w:widowControl/>
        <w:kinsoku/>
        <w:wordWrap/>
        <w:overflowPunct/>
        <w:topLinePunct w:val="0"/>
        <w:autoSpaceDE/>
        <w:autoSpaceDN/>
        <w:bidi w:val="0"/>
        <w:adjustRightInd/>
        <w:snapToGrid/>
        <w:spacing w:before="0" w:after="0" w:line="480" w:lineRule="auto"/>
        <w:ind w:left="0" w:right="0" w:firstLine="641"/>
        <w:jc w:val="both"/>
        <w:textAlignment w:val="auto"/>
        <w:rPr>
          <w:rFonts w:hint="eastAsia" w:ascii="宋体" w:hAnsi="宋体" w:eastAsia="宋体" w:cs="宋体"/>
          <w:b w:val="0"/>
          <w:i w:val="0"/>
          <w:spacing w:val="0"/>
          <w:sz w:val="24"/>
          <w:szCs w:val="24"/>
          <w:lang w:val="en-US" w:eastAsia="zh-CN"/>
        </w:rPr>
      </w:pPr>
      <w:bookmarkStart w:id="2" w:name="c8ab292fb1c34f8e8ef31bf52152921a"/>
      <w:r>
        <w:rPr>
          <w:rFonts w:hint="eastAsia" w:ascii="宋体" w:hAnsi="宋体" w:eastAsia="宋体" w:cs="宋体"/>
          <w:b w:val="0"/>
          <w:i w:val="0"/>
          <w:spacing w:val="0"/>
          <w:sz w:val="24"/>
          <w:szCs w:val="24"/>
        </w:rPr>
        <w:t>甲方：</w:t>
      </w:r>
      <w:bookmarkEnd w:id="2"/>
      <w:bookmarkStart w:id="3" w:name="4ac425600513498badaa792aef3a7c6f"/>
      <w:r>
        <w:rPr>
          <w:rFonts w:hint="eastAsia" w:hAnsi="宋体" w:cs="宋体"/>
          <w:b w:val="0"/>
          <w:i w:val="0"/>
          <w:spacing w:val="0"/>
          <w:sz w:val="24"/>
          <w:szCs w:val="24"/>
          <w:lang w:val="en-US" w:eastAsia="zh-CN"/>
        </w:rPr>
        <w:t xml:space="preserve"> </w:t>
      </w:r>
    </w:p>
    <w:p w14:paraId="07356D59">
      <w:pPr>
        <w:pStyle w:val="25"/>
        <w:keepNext w:val="0"/>
        <w:keepLines w:val="0"/>
        <w:pageBreakBefore w:val="0"/>
        <w:widowControl/>
        <w:kinsoku/>
        <w:wordWrap/>
        <w:overflowPunct/>
        <w:topLinePunct w:val="0"/>
        <w:autoSpaceDE/>
        <w:autoSpaceDN/>
        <w:bidi w:val="0"/>
        <w:adjustRightInd/>
        <w:snapToGrid/>
        <w:spacing w:before="0" w:after="0" w:line="480" w:lineRule="auto"/>
        <w:ind w:left="0" w:right="0" w:firstLine="641"/>
        <w:jc w:val="both"/>
        <w:textAlignment w:val="auto"/>
        <w:rPr>
          <w:rFonts w:hint="eastAsia" w:ascii="宋体" w:hAnsi="宋体" w:eastAsia="宋体" w:cs="宋体"/>
          <w:sz w:val="24"/>
          <w:szCs w:val="24"/>
        </w:rPr>
      </w:pPr>
      <w:r>
        <w:rPr>
          <w:rFonts w:hint="eastAsia" w:ascii="宋体" w:hAnsi="宋体" w:eastAsia="宋体" w:cs="宋体"/>
          <w:b w:val="0"/>
          <w:i w:val="0"/>
          <w:spacing w:val="0"/>
          <w:sz w:val="24"/>
          <w:szCs w:val="24"/>
        </w:rPr>
        <w:t>乙方：</w:t>
      </w:r>
      <w:bookmarkEnd w:id="3"/>
      <w:r>
        <w:rPr>
          <w:rFonts w:hint="eastAsia" w:hAnsi="宋体" w:cs="宋体"/>
          <w:b w:val="0"/>
          <w:i w:val="0"/>
          <w:spacing w:val="0"/>
          <w:sz w:val="24"/>
          <w:szCs w:val="24"/>
          <w:lang w:val="en-US" w:eastAsia="zh-CN"/>
        </w:rPr>
        <w:t xml:space="preserve"> </w:t>
      </w:r>
    </w:p>
    <w:p w14:paraId="296A9CDB">
      <w:pPr>
        <w:pStyle w:val="2"/>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根据《中华人民共和国民法典》及相关法律法规，甲乙双方本着平等、自愿、诚实信用的原则，就甲方采购</w:t>
      </w:r>
      <w:r>
        <w:rPr>
          <w:rFonts w:hint="eastAsia" w:ascii="宋体" w:hAnsi="宋体" w:eastAsia="宋体" w:cs="宋体"/>
          <w:sz w:val="24"/>
          <w:szCs w:val="24"/>
          <w:lang w:val="en-US" w:eastAsia="zh-CN"/>
        </w:rPr>
        <w:t>广汉市各污水处理厂（站）视频数据采集服务相关</w:t>
      </w:r>
      <w:r>
        <w:rPr>
          <w:rFonts w:hint="eastAsia" w:ascii="宋体" w:hAnsi="宋体" w:eastAsia="宋体" w:cs="宋体"/>
          <w:sz w:val="24"/>
          <w:szCs w:val="24"/>
        </w:rPr>
        <w:t>事宜，经协商一致，订立本合同。</w:t>
      </w:r>
    </w:p>
    <w:p w14:paraId="049A8813">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bCs/>
          <w:sz w:val="24"/>
          <w:szCs w:val="24"/>
        </w:rPr>
      </w:pPr>
      <w:r>
        <w:rPr>
          <w:rFonts w:hint="eastAsia" w:ascii="宋体" w:hAnsi="宋体" w:eastAsia="宋体" w:cs="宋体"/>
          <w:b/>
          <w:bCs/>
          <w:sz w:val="24"/>
          <w:szCs w:val="24"/>
        </w:rPr>
        <w:t>合作期限与续签</w:t>
      </w:r>
    </w:p>
    <w:p w14:paraId="4F93BA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sz w:val="24"/>
          <w:szCs w:val="24"/>
          <w:lang w:val="en-US" w:eastAsia="zh-CN"/>
        </w:rPr>
        <w:t>合同有效期：1年，自2026年11月1日起至2027年10月31日止。</w:t>
      </w:r>
    </w:p>
    <w:p w14:paraId="5AC38D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2、续签机制：合同期满后，甲方根据考核可选择续签，续签最多不超过两次（含两次）。</w:t>
      </w:r>
    </w:p>
    <w:p w14:paraId="1351BB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3、终止条件</w:t>
      </w:r>
    </w:p>
    <w:p w14:paraId="42C89E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（1）乙方考核低于80分，或甲方业务调整不再需要服务的，甲方有权不予续签，合同到期自动终止，甲方不承担违约责任。</w:t>
      </w:r>
    </w:p>
    <w:p w14:paraId="277F29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sz w:val="24"/>
          <w:szCs w:val="24"/>
          <w:lang w:val="en-US" w:eastAsia="zh-CN"/>
        </w:rPr>
        <w:t>（2）甲方因自身业务调整不再需要服务的，需提前30天书面通知乙方，合同到期自动终止。若甲方未提前30天通知，则本合同自动顺延30天后终止，顺延期间产生的正常费用由甲方承担。</w:t>
      </w:r>
    </w:p>
    <w:p w14:paraId="6DF64879">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bookmarkStart w:id="4" w:name="_Toc286993786"/>
      <w:bookmarkStart w:id="5" w:name="_Toc238984975"/>
      <w:bookmarkStart w:id="6" w:name="_Toc211854449"/>
      <w:bookmarkStart w:id="7" w:name="_Toc225654644"/>
      <w:bookmarkStart w:id="8" w:name="_Toc251768862"/>
      <w:bookmarkStart w:id="9" w:name="_Toc237145406"/>
      <w:bookmarkStart w:id="10" w:name="_Toc239568418"/>
      <w:bookmarkStart w:id="11" w:name="_Toc211911348"/>
      <w:bookmarkStart w:id="12" w:name="_Toc225244852"/>
      <w:bookmarkStart w:id="13" w:name="_Toc241833903"/>
      <w:bookmarkStart w:id="14" w:name="_Toc185395249"/>
      <w:bookmarkStart w:id="15" w:name="_Toc239233914"/>
      <w:bookmarkStart w:id="16" w:name="_Toc282696226"/>
      <w:bookmarkStart w:id="17" w:name="_Toc247334841"/>
      <w:bookmarkStart w:id="18" w:name="_Toc225670751"/>
      <w:bookmarkStart w:id="19" w:name="_Toc232492928"/>
      <w:bookmarkStart w:id="20" w:name="_Toc283019214"/>
      <w:bookmarkStart w:id="21" w:name="_Toc212019594"/>
      <w:r>
        <w:rPr>
          <w:rFonts w:hint="eastAsia" w:ascii="宋体" w:hAnsi="宋体" w:eastAsia="宋体" w:cs="宋体"/>
          <w:b/>
          <w:color w:val="auto"/>
          <w:sz w:val="24"/>
          <w:szCs w:val="24"/>
          <w:highlight w:val="none"/>
        </w:rPr>
        <w:t>服务内容与质量标准</w:t>
      </w:r>
    </w:p>
    <w:p w14:paraId="102F39D7">
      <w:pPr>
        <w:pStyle w:val="6"/>
        <w:keepNext w:val="0"/>
        <w:keepLines w:val="0"/>
        <w:pageBreakBefore w:val="0"/>
        <w:kinsoku/>
        <w:wordWrap/>
        <w:overflowPunct/>
        <w:topLinePunct w:val="0"/>
        <w:autoSpaceDE/>
        <w:autoSpaceDN/>
        <w:bidi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本次合同主要为广汉市各污水处理厂（站）视频数据采集服务项目提供链路服务，主要内容如下：</w:t>
      </w:r>
    </w:p>
    <w:p w14:paraId="2B8AC54C">
      <w:pPr>
        <w:pStyle w:val="6"/>
        <w:keepNext w:val="0"/>
        <w:keepLines w:val="0"/>
        <w:pageBreakBefore w:val="0"/>
        <w:kinsoku/>
        <w:wordWrap/>
        <w:overflowPunct/>
        <w:topLinePunct w:val="0"/>
        <w:autoSpaceDE/>
        <w:autoSpaceDN/>
        <w:bidi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1、提供满足污水处理厂（站）视频数据采集服务的链路，其中20条链路（带宽≥100兆、动态IP专线），1条链路（上下行对等且带宽≥200兆、固定IP专线）。</w:t>
      </w:r>
    </w:p>
    <w:p w14:paraId="07AD1BFC">
      <w:pPr>
        <w:pStyle w:val="6"/>
        <w:keepNext w:val="0"/>
        <w:keepLines w:val="0"/>
        <w:pageBreakBefore w:val="0"/>
        <w:kinsoku/>
        <w:wordWrap/>
        <w:overflowPunct/>
        <w:topLinePunct w:val="0"/>
        <w:autoSpaceDE/>
        <w:autoSpaceDN/>
        <w:bidi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2、服务提供1年整体服务期，期间出现链路中断等问题，2小时内响应，12小时内处置完毕（不可抗力除外）。</w:t>
      </w:r>
    </w:p>
    <w:p w14:paraId="7BFE6BDE">
      <w:pPr>
        <w:pStyle w:val="6"/>
        <w:keepNext w:val="0"/>
        <w:keepLines w:val="0"/>
        <w:pageBreakBefore w:val="0"/>
        <w:kinsoku/>
        <w:wordWrap/>
        <w:overflowPunct/>
        <w:topLinePunct w:val="0"/>
        <w:autoSpaceDE/>
        <w:autoSpaceDN/>
        <w:bidi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3、在2026年11月1日前投入使用，开通后即时验收，以链路开通为标准；无法正常使用的3个工作日内完成更换/退款，全部费用及损失由供应商承担。。</w:t>
      </w:r>
    </w:p>
    <w:p w14:paraId="15D46B0D">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服务费用及支付方式</w:t>
      </w:r>
    </w:p>
    <w:p w14:paraId="0D7E809D">
      <w:pPr>
        <w:keepNext w:val="0"/>
        <w:keepLines w:val="0"/>
        <w:pageBreakBefore w:val="0"/>
        <w:widowControl w:val="0"/>
        <w:numPr>
          <w:ilvl w:val="0"/>
          <w:numId w:val="3"/>
        </w:numPr>
        <w:kinsoku/>
        <w:wordWrap/>
        <w:overflowPunct/>
        <w:topLinePunct w:val="0"/>
        <w:autoSpaceDE/>
        <w:autoSpaceDN/>
        <w:bidi w:val="0"/>
        <w:snapToGrid/>
        <w:spacing w:line="360" w:lineRule="auto"/>
        <w:ind w:left="0" w:firstLine="567"/>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本项目费用由以下组成：</w:t>
      </w:r>
    </w:p>
    <w:p w14:paraId="5D5C3B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sz w:val="24"/>
          <w:szCs w:val="24"/>
        </w:rPr>
        <w:t>本合同含税总金额人民币：</w:t>
      </w:r>
      <w:r>
        <w:rPr>
          <w:rFonts w:hint="eastAsia" w:ascii="宋体" w:hAnsi="宋体" w:eastAsia="宋体" w:cs="宋体"/>
          <w:sz w:val="24"/>
          <w:szCs w:val="24"/>
          <w:u w:val="single"/>
          <w:lang w:val="en-US" w:eastAsia="zh-CN"/>
        </w:rPr>
        <w:t xml:space="preserve"> xxx </w:t>
      </w:r>
      <w:r>
        <w:rPr>
          <w:rFonts w:hint="eastAsia" w:ascii="宋体" w:hAnsi="宋体" w:eastAsia="宋体" w:cs="宋体"/>
          <w:sz w:val="24"/>
          <w:szCs w:val="24"/>
          <w:u w:val="none"/>
          <w:lang w:val="en-US" w:eastAsia="zh-CN"/>
        </w:rPr>
        <w:t>元</w:t>
      </w:r>
      <w:r>
        <w:rPr>
          <w:rFonts w:hint="eastAsia" w:ascii="宋体" w:hAnsi="宋体" w:eastAsia="宋体" w:cs="宋体"/>
          <w:sz w:val="24"/>
          <w:szCs w:val="24"/>
        </w:rPr>
        <w:t>，</w:t>
      </w:r>
      <w:r>
        <w:rPr>
          <w:rFonts w:hint="eastAsia" w:ascii="宋体" w:hAnsi="宋体" w:eastAsia="宋体" w:cs="宋体"/>
          <w:sz w:val="24"/>
          <w:szCs w:val="24"/>
          <w:lang w:val="en-US" w:eastAsia="zh-CN"/>
        </w:rPr>
        <w:t>大</w:t>
      </w:r>
      <w:r>
        <w:rPr>
          <w:rFonts w:hint="eastAsia" w:ascii="宋体" w:hAnsi="宋体" w:eastAsia="宋体" w:cs="宋体"/>
          <w:sz w:val="24"/>
          <w:szCs w:val="24"/>
        </w:rPr>
        <w:t>写</w:t>
      </w:r>
      <w:r>
        <w:rPr>
          <w:rFonts w:hint="eastAsia" w:ascii="宋体" w:hAnsi="宋体" w:eastAsia="宋体" w:cs="宋体"/>
          <w:sz w:val="24"/>
          <w:szCs w:val="24"/>
          <w:lang w:eastAsia="zh-CN"/>
        </w:rPr>
        <w:t>：</w:t>
      </w:r>
      <w:r>
        <w:rPr>
          <w:rFonts w:hint="eastAsia" w:ascii="宋体" w:hAnsi="宋体" w:eastAsia="宋体" w:cs="宋体"/>
          <w:sz w:val="24"/>
          <w:szCs w:val="24"/>
          <w:u w:val="single"/>
          <w:lang w:val="en-US" w:eastAsia="zh-CN"/>
        </w:rPr>
        <w:t xml:space="preserve"> xxx整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税率 %，</w:t>
      </w:r>
      <w:r>
        <w:rPr>
          <w:rFonts w:hint="eastAsia" w:ascii="宋体" w:hAnsi="宋体" w:eastAsia="宋体" w:cs="宋体"/>
          <w:color w:val="auto"/>
          <w:sz w:val="24"/>
          <w:szCs w:val="24"/>
        </w:rPr>
        <w:t>不含税价</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大写：</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sz w:val="24"/>
          <w:szCs w:val="24"/>
          <w:u w:val="single"/>
          <w:lang w:val="en-US" w:eastAsia="zh-CN"/>
        </w:rPr>
        <w:t>xxx</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税额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sz w:val="24"/>
          <w:szCs w:val="24"/>
          <w:u w:val="single"/>
          <w:lang w:val="en-US" w:eastAsia="zh-CN"/>
        </w:rPr>
        <w:t>xxx</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rPr>
        <w:t>元</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大写：</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sz w:val="24"/>
          <w:szCs w:val="24"/>
          <w:u w:val="single"/>
          <w:lang w:val="en-US" w:eastAsia="zh-CN"/>
        </w:rPr>
        <w:t>xxx</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bl>
      <w:tblPr>
        <w:tblStyle w:val="14"/>
        <w:tblW w:w="93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415"/>
        <w:gridCol w:w="529"/>
        <w:gridCol w:w="642"/>
        <w:gridCol w:w="661"/>
        <w:gridCol w:w="1168"/>
        <w:gridCol w:w="470"/>
        <w:gridCol w:w="922"/>
        <w:gridCol w:w="1104"/>
        <w:gridCol w:w="1908"/>
      </w:tblGrid>
      <w:tr w14:paraId="087A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90" w:type="dxa"/>
            <w:noWrap w:val="0"/>
            <w:vAlign w:val="center"/>
          </w:tcPr>
          <w:p w14:paraId="5681F160">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序号</w:t>
            </w:r>
          </w:p>
        </w:tc>
        <w:tc>
          <w:tcPr>
            <w:tcW w:w="1415" w:type="dxa"/>
            <w:noWrap w:val="0"/>
            <w:vAlign w:val="center"/>
          </w:tcPr>
          <w:p w14:paraId="422B8B16">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服务内容</w:t>
            </w:r>
          </w:p>
        </w:tc>
        <w:tc>
          <w:tcPr>
            <w:tcW w:w="529" w:type="dxa"/>
            <w:noWrap w:val="0"/>
            <w:vAlign w:val="center"/>
          </w:tcPr>
          <w:p w14:paraId="7882FD7C">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数量</w:t>
            </w:r>
          </w:p>
        </w:tc>
        <w:tc>
          <w:tcPr>
            <w:tcW w:w="642" w:type="dxa"/>
            <w:noWrap w:val="0"/>
            <w:vAlign w:val="center"/>
          </w:tcPr>
          <w:p w14:paraId="2AC2EB73">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单位</w:t>
            </w:r>
          </w:p>
        </w:tc>
        <w:tc>
          <w:tcPr>
            <w:tcW w:w="661" w:type="dxa"/>
            <w:noWrap w:val="0"/>
            <w:vAlign w:val="center"/>
          </w:tcPr>
          <w:p w14:paraId="15D5B1E5">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期限</w:t>
            </w:r>
          </w:p>
        </w:tc>
        <w:tc>
          <w:tcPr>
            <w:tcW w:w="1168" w:type="dxa"/>
            <w:noWrap w:val="0"/>
            <w:vAlign w:val="center"/>
          </w:tcPr>
          <w:p w14:paraId="30399A24">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单价（元</w:t>
            </w:r>
            <w:r>
              <w:rPr>
                <w:rFonts w:hint="eastAsia" w:ascii="宋体" w:hAnsi="宋体" w:eastAsia="宋体" w:cs="宋体"/>
                <w:color w:val="auto"/>
                <w:sz w:val="18"/>
                <w:szCs w:val="18"/>
                <w:highlight w:val="none"/>
                <w:lang w:val="en-US" w:eastAsia="zh-CN"/>
              </w:rPr>
              <w:t>/月/不含税</w:t>
            </w:r>
            <w:r>
              <w:rPr>
                <w:rFonts w:hint="eastAsia" w:ascii="宋体" w:hAnsi="宋体" w:eastAsia="宋体" w:cs="宋体"/>
                <w:color w:val="auto"/>
                <w:sz w:val="18"/>
                <w:szCs w:val="18"/>
                <w:highlight w:val="none"/>
                <w:lang w:eastAsia="zh-CN"/>
              </w:rPr>
              <w:t>）</w:t>
            </w:r>
          </w:p>
        </w:tc>
        <w:tc>
          <w:tcPr>
            <w:tcW w:w="470" w:type="dxa"/>
            <w:noWrap w:val="0"/>
            <w:vAlign w:val="center"/>
          </w:tcPr>
          <w:p w14:paraId="148901E9">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税率</w:t>
            </w:r>
          </w:p>
        </w:tc>
        <w:tc>
          <w:tcPr>
            <w:tcW w:w="922" w:type="dxa"/>
            <w:noWrap w:val="0"/>
            <w:vAlign w:val="center"/>
          </w:tcPr>
          <w:p w14:paraId="1E638FD0">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单价（元</w:t>
            </w:r>
            <w:r>
              <w:rPr>
                <w:rFonts w:hint="eastAsia" w:ascii="宋体" w:hAnsi="宋体" w:eastAsia="宋体" w:cs="宋体"/>
                <w:color w:val="auto"/>
                <w:sz w:val="18"/>
                <w:szCs w:val="18"/>
                <w:highlight w:val="none"/>
                <w:lang w:val="en-US" w:eastAsia="zh-CN"/>
              </w:rPr>
              <w:t>/月/含税</w:t>
            </w:r>
            <w:r>
              <w:rPr>
                <w:rFonts w:hint="eastAsia" w:ascii="宋体" w:hAnsi="宋体" w:eastAsia="宋体" w:cs="宋体"/>
                <w:color w:val="auto"/>
                <w:sz w:val="18"/>
                <w:szCs w:val="18"/>
                <w:highlight w:val="none"/>
                <w:lang w:eastAsia="zh-CN"/>
              </w:rPr>
              <w:t>）</w:t>
            </w:r>
          </w:p>
        </w:tc>
        <w:tc>
          <w:tcPr>
            <w:tcW w:w="1104" w:type="dxa"/>
            <w:noWrap w:val="0"/>
            <w:vAlign w:val="center"/>
          </w:tcPr>
          <w:p w14:paraId="5F7C2D7B">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eastAsia="zh-CN"/>
              </w:rPr>
              <w:t>总价（元</w:t>
            </w:r>
            <w:r>
              <w:rPr>
                <w:rFonts w:hint="eastAsia" w:ascii="宋体" w:hAnsi="宋体" w:eastAsia="宋体" w:cs="宋体"/>
                <w:color w:val="auto"/>
                <w:sz w:val="18"/>
                <w:szCs w:val="18"/>
                <w:highlight w:val="none"/>
                <w:lang w:val="en-US" w:eastAsia="zh-CN"/>
              </w:rPr>
              <w:t>/含税</w:t>
            </w:r>
            <w:r>
              <w:rPr>
                <w:rFonts w:hint="eastAsia" w:ascii="宋体" w:hAnsi="宋体" w:eastAsia="宋体" w:cs="宋体"/>
                <w:color w:val="auto"/>
                <w:sz w:val="18"/>
                <w:szCs w:val="18"/>
                <w:highlight w:val="none"/>
                <w:lang w:eastAsia="zh-CN"/>
              </w:rPr>
              <w:t>）</w:t>
            </w:r>
          </w:p>
        </w:tc>
        <w:tc>
          <w:tcPr>
            <w:tcW w:w="1908" w:type="dxa"/>
            <w:noWrap w:val="0"/>
            <w:vAlign w:val="center"/>
          </w:tcPr>
          <w:p w14:paraId="1BC2C8FC">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备注</w:t>
            </w:r>
          </w:p>
        </w:tc>
      </w:tr>
      <w:tr w14:paraId="4972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90" w:type="dxa"/>
            <w:noWrap w:val="0"/>
            <w:vAlign w:val="center"/>
          </w:tcPr>
          <w:p w14:paraId="2A1F79D5">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i w:val="0"/>
                <w:iCs w:val="0"/>
                <w:color w:val="000000"/>
                <w:kern w:val="0"/>
                <w:sz w:val="18"/>
                <w:szCs w:val="18"/>
                <w:u w:val="none"/>
                <w:lang w:val="en-US" w:eastAsia="zh-CN" w:bidi="ar"/>
              </w:rPr>
              <w:t>1</w:t>
            </w:r>
          </w:p>
        </w:tc>
        <w:tc>
          <w:tcPr>
            <w:tcW w:w="1415" w:type="dxa"/>
            <w:noWrap w:val="0"/>
            <w:vAlign w:val="center"/>
          </w:tcPr>
          <w:p w14:paraId="79DD891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Xxx</w:t>
            </w:r>
          </w:p>
        </w:tc>
        <w:tc>
          <w:tcPr>
            <w:tcW w:w="529" w:type="dxa"/>
            <w:noWrap w:val="0"/>
            <w:vAlign w:val="center"/>
          </w:tcPr>
          <w:p w14:paraId="4CE65BFE">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20</w:t>
            </w:r>
          </w:p>
        </w:tc>
        <w:tc>
          <w:tcPr>
            <w:tcW w:w="642" w:type="dxa"/>
            <w:noWrap w:val="0"/>
            <w:vAlign w:val="center"/>
          </w:tcPr>
          <w:p w14:paraId="07A02768">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auto"/>
                <w:sz w:val="18"/>
                <w:szCs w:val="18"/>
                <w:highlight w:val="none"/>
                <w:lang w:val="en-US" w:eastAsia="zh-CN"/>
              </w:rPr>
              <w:t>条</w:t>
            </w:r>
          </w:p>
        </w:tc>
        <w:tc>
          <w:tcPr>
            <w:tcW w:w="661" w:type="dxa"/>
            <w:noWrap w:val="0"/>
            <w:vAlign w:val="center"/>
          </w:tcPr>
          <w:p w14:paraId="06422A51">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12月</w:t>
            </w:r>
          </w:p>
        </w:tc>
        <w:tc>
          <w:tcPr>
            <w:tcW w:w="1168" w:type="dxa"/>
            <w:noWrap w:val="0"/>
            <w:vAlign w:val="center"/>
          </w:tcPr>
          <w:p w14:paraId="6C7962AB">
            <w:pPr>
              <w:keepNext w:val="0"/>
              <w:keepLines w:val="0"/>
              <w:pageBreakBefore w:val="0"/>
              <w:widowControl/>
              <w:suppressLineNumbers w:val="0"/>
              <w:kinsoku/>
              <w:wordWrap/>
              <w:overflowPunct/>
              <w:topLinePunct w:val="0"/>
              <w:autoSpaceDE/>
              <w:autoSpaceDN/>
              <w:bidi w:val="0"/>
              <w:adjustRightInd/>
              <w:spacing w:line="240" w:lineRule="auto"/>
              <w:jc w:val="both"/>
              <w:textAlignment w:val="center"/>
              <w:rPr>
                <w:rFonts w:hint="eastAsia" w:ascii="宋体" w:hAnsi="宋体" w:eastAsia="宋体" w:cs="宋体"/>
                <w:i w:val="0"/>
                <w:iCs w:val="0"/>
                <w:color w:val="000000"/>
                <w:kern w:val="0"/>
                <w:sz w:val="18"/>
                <w:szCs w:val="18"/>
                <w:u w:val="none"/>
                <w:lang w:val="en-US" w:eastAsia="zh-CN" w:bidi="ar"/>
              </w:rPr>
            </w:pPr>
          </w:p>
        </w:tc>
        <w:tc>
          <w:tcPr>
            <w:tcW w:w="470" w:type="dxa"/>
            <w:noWrap w:val="0"/>
            <w:vAlign w:val="center"/>
          </w:tcPr>
          <w:p w14:paraId="1D62180C">
            <w:pPr>
              <w:keepNext w:val="0"/>
              <w:keepLines w:val="0"/>
              <w:pageBreakBefore w:val="0"/>
              <w:widowControl/>
              <w:suppressLineNumbers w:val="0"/>
              <w:kinsoku/>
              <w:wordWrap/>
              <w:overflowPunct/>
              <w:topLinePunct w:val="0"/>
              <w:autoSpaceDE/>
              <w:autoSpaceDN/>
              <w:bidi w:val="0"/>
              <w:adjustRightInd/>
              <w:spacing w:line="240" w:lineRule="auto"/>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922" w:type="dxa"/>
            <w:noWrap w:val="0"/>
            <w:vAlign w:val="center"/>
          </w:tcPr>
          <w:p w14:paraId="61CE7BD8">
            <w:pPr>
              <w:keepNext w:val="0"/>
              <w:keepLines w:val="0"/>
              <w:pageBreakBefore w:val="0"/>
              <w:widowControl/>
              <w:suppressLineNumbers w:val="0"/>
              <w:kinsoku/>
              <w:wordWrap/>
              <w:overflowPunct/>
              <w:topLinePunct w:val="0"/>
              <w:autoSpaceDE/>
              <w:autoSpaceDN/>
              <w:bidi w:val="0"/>
              <w:adjustRightInd/>
              <w:spacing w:line="240" w:lineRule="auto"/>
              <w:jc w:val="both"/>
              <w:textAlignment w:val="center"/>
              <w:rPr>
                <w:rFonts w:hint="eastAsia" w:ascii="宋体" w:hAnsi="宋体" w:eastAsia="宋体" w:cs="宋体"/>
                <w:i w:val="0"/>
                <w:iCs w:val="0"/>
                <w:color w:val="000000"/>
                <w:kern w:val="0"/>
                <w:sz w:val="18"/>
                <w:szCs w:val="18"/>
                <w:u w:val="none"/>
                <w:lang w:val="en-US" w:eastAsia="zh-CN" w:bidi="ar"/>
              </w:rPr>
            </w:pPr>
          </w:p>
        </w:tc>
        <w:tc>
          <w:tcPr>
            <w:tcW w:w="1104" w:type="dxa"/>
            <w:noWrap w:val="0"/>
            <w:vAlign w:val="center"/>
          </w:tcPr>
          <w:p w14:paraId="28B01CB9">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p>
        </w:tc>
        <w:tc>
          <w:tcPr>
            <w:tcW w:w="1908" w:type="dxa"/>
            <w:noWrap w:val="0"/>
            <w:vAlign w:val="center"/>
          </w:tcPr>
          <w:p w14:paraId="547A799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auto"/>
                <w:sz w:val="18"/>
                <w:szCs w:val="18"/>
                <w:highlight w:val="none"/>
                <w:lang w:eastAsia="zh-CN"/>
              </w:rPr>
            </w:pPr>
          </w:p>
        </w:tc>
      </w:tr>
      <w:tr w14:paraId="386A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90" w:type="dxa"/>
            <w:noWrap w:val="0"/>
            <w:vAlign w:val="center"/>
          </w:tcPr>
          <w:p w14:paraId="5D0BEBB4">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18"/>
                <w:szCs w:val="18"/>
                <w:highlight w:val="none"/>
                <w:vertAlign w:val="baseline"/>
                <w:lang w:eastAsia="zh-CN"/>
              </w:rPr>
            </w:pPr>
            <w:r>
              <w:rPr>
                <w:rFonts w:hint="eastAsia" w:ascii="宋体" w:hAnsi="宋体" w:eastAsia="宋体" w:cs="宋体"/>
                <w:i w:val="0"/>
                <w:iCs w:val="0"/>
                <w:color w:val="000000"/>
                <w:kern w:val="0"/>
                <w:sz w:val="18"/>
                <w:szCs w:val="18"/>
                <w:u w:val="none"/>
                <w:lang w:val="en-US" w:eastAsia="zh-CN" w:bidi="ar"/>
              </w:rPr>
              <w:t>2</w:t>
            </w:r>
          </w:p>
        </w:tc>
        <w:tc>
          <w:tcPr>
            <w:tcW w:w="1415" w:type="dxa"/>
            <w:noWrap w:val="0"/>
            <w:vAlign w:val="center"/>
          </w:tcPr>
          <w:p w14:paraId="0B6B5A8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Xxx</w:t>
            </w:r>
          </w:p>
        </w:tc>
        <w:tc>
          <w:tcPr>
            <w:tcW w:w="529" w:type="dxa"/>
            <w:noWrap w:val="0"/>
            <w:vAlign w:val="center"/>
          </w:tcPr>
          <w:p w14:paraId="7A19DC1F">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18"/>
                <w:szCs w:val="18"/>
                <w:highlight w:val="none"/>
                <w:vertAlign w:val="baseline"/>
                <w:lang w:eastAsia="zh-CN"/>
              </w:rPr>
            </w:pPr>
            <w:r>
              <w:rPr>
                <w:rFonts w:hint="eastAsia" w:ascii="宋体" w:hAnsi="宋体" w:eastAsia="宋体" w:cs="宋体"/>
                <w:i w:val="0"/>
                <w:iCs w:val="0"/>
                <w:color w:val="000000"/>
                <w:kern w:val="0"/>
                <w:sz w:val="18"/>
                <w:szCs w:val="18"/>
                <w:u w:val="none"/>
                <w:lang w:val="en-US" w:eastAsia="zh-CN" w:bidi="ar"/>
              </w:rPr>
              <w:t>1</w:t>
            </w:r>
          </w:p>
        </w:tc>
        <w:tc>
          <w:tcPr>
            <w:tcW w:w="642" w:type="dxa"/>
            <w:noWrap w:val="0"/>
            <w:vAlign w:val="center"/>
          </w:tcPr>
          <w:p w14:paraId="1B741F1E">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auto"/>
                <w:sz w:val="18"/>
                <w:szCs w:val="18"/>
                <w:highlight w:val="none"/>
                <w:lang w:val="en-US" w:eastAsia="zh-CN"/>
              </w:rPr>
              <w:t>条</w:t>
            </w:r>
          </w:p>
        </w:tc>
        <w:tc>
          <w:tcPr>
            <w:tcW w:w="661" w:type="dxa"/>
            <w:noWrap w:val="0"/>
            <w:vAlign w:val="center"/>
          </w:tcPr>
          <w:p w14:paraId="5AB631C5">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12月</w:t>
            </w:r>
          </w:p>
        </w:tc>
        <w:tc>
          <w:tcPr>
            <w:tcW w:w="1168" w:type="dxa"/>
            <w:noWrap w:val="0"/>
            <w:vAlign w:val="center"/>
          </w:tcPr>
          <w:p w14:paraId="67A63EBF">
            <w:pPr>
              <w:keepNext w:val="0"/>
              <w:keepLines w:val="0"/>
              <w:pageBreakBefore w:val="0"/>
              <w:widowControl/>
              <w:suppressLineNumbers w:val="0"/>
              <w:kinsoku/>
              <w:wordWrap/>
              <w:overflowPunct/>
              <w:topLinePunct w:val="0"/>
              <w:autoSpaceDE/>
              <w:autoSpaceDN/>
              <w:bidi w:val="0"/>
              <w:adjustRightInd/>
              <w:spacing w:line="240" w:lineRule="auto"/>
              <w:jc w:val="both"/>
              <w:textAlignment w:val="center"/>
              <w:rPr>
                <w:rFonts w:hint="eastAsia" w:ascii="宋体" w:hAnsi="宋体" w:eastAsia="宋体" w:cs="宋体"/>
                <w:i w:val="0"/>
                <w:iCs w:val="0"/>
                <w:color w:val="000000"/>
                <w:kern w:val="0"/>
                <w:sz w:val="18"/>
                <w:szCs w:val="18"/>
                <w:u w:val="none"/>
                <w:lang w:val="en-US" w:eastAsia="zh-CN" w:bidi="ar"/>
              </w:rPr>
            </w:pPr>
          </w:p>
        </w:tc>
        <w:tc>
          <w:tcPr>
            <w:tcW w:w="470" w:type="dxa"/>
            <w:noWrap w:val="0"/>
            <w:vAlign w:val="center"/>
          </w:tcPr>
          <w:p w14:paraId="35C5735E">
            <w:pPr>
              <w:keepNext w:val="0"/>
              <w:keepLines w:val="0"/>
              <w:pageBreakBefore w:val="0"/>
              <w:widowControl/>
              <w:suppressLineNumbers w:val="0"/>
              <w:kinsoku/>
              <w:wordWrap/>
              <w:overflowPunct/>
              <w:topLinePunct w:val="0"/>
              <w:autoSpaceDE/>
              <w:autoSpaceDN/>
              <w:bidi w:val="0"/>
              <w:adjustRightInd/>
              <w:spacing w:line="240" w:lineRule="auto"/>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922" w:type="dxa"/>
            <w:noWrap w:val="0"/>
            <w:vAlign w:val="center"/>
          </w:tcPr>
          <w:p w14:paraId="24FDF23F">
            <w:pPr>
              <w:keepNext w:val="0"/>
              <w:keepLines w:val="0"/>
              <w:pageBreakBefore w:val="0"/>
              <w:widowControl/>
              <w:suppressLineNumbers w:val="0"/>
              <w:kinsoku/>
              <w:wordWrap/>
              <w:overflowPunct/>
              <w:topLinePunct w:val="0"/>
              <w:autoSpaceDE/>
              <w:autoSpaceDN/>
              <w:bidi w:val="0"/>
              <w:adjustRightInd/>
              <w:spacing w:line="240" w:lineRule="auto"/>
              <w:jc w:val="both"/>
              <w:textAlignment w:val="center"/>
              <w:rPr>
                <w:rFonts w:hint="eastAsia" w:ascii="宋体" w:hAnsi="宋体" w:eastAsia="宋体" w:cs="宋体"/>
                <w:i w:val="0"/>
                <w:iCs w:val="0"/>
                <w:color w:val="000000"/>
                <w:kern w:val="0"/>
                <w:sz w:val="18"/>
                <w:szCs w:val="18"/>
                <w:u w:val="none"/>
                <w:lang w:val="en-US" w:eastAsia="zh-CN" w:bidi="ar"/>
              </w:rPr>
            </w:pPr>
          </w:p>
        </w:tc>
        <w:tc>
          <w:tcPr>
            <w:tcW w:w="1104" w:type="dxa"/>
            <w:noWrap w:val="0"/>
            <w:vAlign w:val="center"/>
          </w:tcPr>
          <w:p w14:paraId="267A75C7">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p>
        </w:tc>
        <w:tc>
          <w:tcPr>
            <w:tcW w:w="1908" w:type="dxa"/>
            <w:noWrap w:val="0"/>
            <w:vAlign w:val="center"/>
          </w:tcPr>
          <w:p w14:paraId="6A6259C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auto"/>
                <w:sz w:val="18"/>
                <w:szCs w:val="18"/>
                <w:highlight w:val="none"/>
                <w:vertAlign w:val="baseline"/>
                <w:lang w:eastAsia="zh-CN"/>
              </w:rPr>
            </w:pPr>
          </w:p>
        </w:tc>
      </w:tr>
      <w:tr w14:paraId="2A9F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7401" w:type="dxa"/>
            <w:gridSpan w:val="9"/>
            <w:noWrap w:val="0"/>
            <w:vAlign w:val="top"/>
          </w:tcPr>
          <w:p w14:paraId="27E51AD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金额合计（元）：</w:t>
            </w:r>
            <w:r>
              <w:rPr>
                <w:rFonts w:hint="eastAsia" w:ascii="宋体" w:hAnsi="宋体" w:eastAsia="宋体" w:cs="宋体"/>
                <w:color w:val="auto"/>
                <w:sz w:val="18"/>
                <w:szCs w:val="18"/>
                <w:highlight w:val="none"/>
                <w:u w:val="single"/>
                <w:lang w:val="en-US" w:eastAsia="zh-CN"/>
              </w:rPr>
              <w:t>xxxxx</w:t>
            </w:r>
            <w:r>
              <w:rPr>
                <w:rFonts w:hint="eastAsia" w:ascii="宋体" w:hAnsi="宋体" w:eastAsia="宋体" w:cs="宋体"/>
                <w:i w:val="0"/>
                <w:iCs w:val="0"/>
                <w:color w:val="000000"/>
                <w:kern w:val="0"/>
                <w:sz w:val="18"/>
                <w:szCs w:val="18"/>
                <w:u w:val="none"/>
                <w:lang w:val="en-US" w:eastAsia="zh-CN" w:bidi="ar"/>
              </w:rPr>
              <w:t>元</w:t>
            </w:r>
          </w:p>
          <w:p w14:paraId="1153994B">
            <w:pPr>
              <w:pStyle w:val="2"/>
              <w:keepNext w:val="0"/>
              <w:keepLines w:val="0"/>
              <w:pageBreakBefore w:val="0"/>
              <w:kinsoku/>
              <w:wordWrap/>
              <w:overflowPunct/>
              <w:topLinePunct w:val="0"/>
              <w:autoSpaceDE/>
              <w:autoSpaceDN/>
              <w:bidi w:val="0"/>
              <w:adjustRightInd/>
              <w:spacing w:line="240" w:lineRule="auto"/>
              <w:rPr>
                <w:rFonts w:hint="eastAsia" w:ascii="宋体" w:hAnsi="宋体" w:eastAsia="宋体" w:cs="宋体"/>
                <w:lang w:val="en-US" w:eastAsia="zh-CN"/>
              </w:rPr>
            </w:pPr>
            <w:r>
              <w:rPr>
                <w:rFonts w:hint="eastAsia" w:ascii="宋体" w:hAnsi="宋体" w:eastAsia="宋体" w:cs="宋体"/>
                <w:color w:val="auto"/>
                <w:sz w:val="18"/>
                <w:szCs w:val="18"/>
                <w:highlight w:val="none"/>
                <w:u w:val="none"/>
                <w:lang w:val="en-US" w:eastAsia="zh-CN"/>
              </w:rPr>
              <w:t>（大写：</w:t>
            </w:r>
            <w:r>
              <w:rPr>
                <w:rFonts w:hint="eastAsia" w:ascii="宋体" w:hAnsi="宋体" w:eastAsia="宋体" w:cs="宋体"/>
                <w:color w:val="auto"/>
                <w:sz w:val="18"/>
                <w:szCs w:val="18"/>
                <w:highlight w:val="none"/>
                <w:u w:val="single"/>
                <w:lang w:val="en-US" w:eastAsia="zh-CN"/>
              </w:rPr>
              <w:t xml:space="preserve"> xxxxxxx</w:t>
            </w:r>
            <w:r>
              <w:rPr>
                <w:rFonts w:hint="eastAsia" w:ascii="宋体" w:hAnsi="宋体" w:eastAsia="宋体" w:cs="宋体"/>
                <w:color w:val="auto"/>
                <w:sz w:val="18"/>
                <w:szCs w:val="18"/>
                <w:highlight w:val="none"/>
                <w:u w:val="none"/>
                <w:lang w:val="en-US" w:eastAsia="zh-CN"/>
              </w:rPr>
              <w:t xml:space="preserve"> ）</w:t>
            </w:r>
          </w:p>
        </w:tc>
        <w:tc>
          <w:tcPr>
            <w:tcW w:w="1908" w:type="dxa"/>
            <w:noWrap w:val="0"/>
            <w:vAlign w:val="top"/>
          </w:tcPr>
          <w:p w14:paraId="4BC9E194">
            <w:pPr>
              <w:pStyle w:val="6"/>
              <w:keepNext w:val="0"/>
              <w:keepLines w:val="0"/>
              <w:pageBreakBefore w:val="0"/>
              <w:kinsoku/>
              <w:wordWrap/>
              <w:overflowPunct/>
              <w:topLinePunct w:val="0"/>
              <w:autoSpaceDE/>
              <w:autoSpaceDN/>
              <w:bidi w:val="0"/>
              <w:adjustRightInd/>
              <w:spacing w:after="0" w:line="240" w:lineRule="auto"/>
              <w:rPr>
                <w:rFonts w:hint="eastAsia" w:ascii="宋体" w:hAnsi="宋体" w:eastAsia="宋体" w:cs="宋体"/>
                <w:color w:val="auto"/>
                <w:sz w:val="18"/>
                <w:szCs w:val="18"/>
                <w:highlight w:val="none"/>
                <w:u w:val="none"/>
                <w:lang w:val="en-US" w:eastAsia="zh-CN"/>
              </w:rPr>
            </w:pPr>
          </w:p>
        </w:tc>
      </w:tr>
    </w:tbl>
    <w:p w14:paraId="2D1BB303">
      <w:pPr>
        <w:keepNext w:val="0"/>
        <w:keepLines w:val="0"/>
        <w:pageBreakBefore w:val="0"/>
        <w:widowControl w:val="0"/>
        <w:numPr>
          <w:ilvl w:val="0"/>
          <w:numId w:val="3"/>
        </w:numPr>
        <w:tabs>
          <w:tab w:val="left" w:pos="780"/>
        </w:tabs>
        <w:kinsoku/>
        <w:wordWrap/>
        <w:overflowPunct/>
        <w:topLinePunct w:val="0"/>
        <w:autoSpaceDE/>
        <w:autoSpaceDN/>
        <w:bidi w:val="0"/>
        <w:adjustRightInd/>
        <w:snapToGrid/>
        <w:spacing w:line="360" w:lineRule="auto"/>
        <w:ind w:left="0" w:firstLine="567"/>
        <w:textAlignment w:val="auto"/>
        <w:rPr>
          <w:rFonts w:hint="eastAsia" w:ascii="宋体" w:hAnsi="宋体" w:eastAsia="宋体" w:cs="宋体"/>
          <w:b/>
          <w:sz w:val="24"/>
        </w:rPr>
      </w:pPr>
      <w:r>
        <w:rPr>
          <w:rFonts w:hint="eastAsia" w:ascii="宋体" w:hAnsi="宋体" w:eastAsia="宋体" w:cs="宋体"/>
          <w:b/>
          <w:color w:val="auto"/>
          <w:sz w:val="24"/>
          <w:szCs w:val="24"/>
          <w:highlight w:val="none"/>
        </w:rPr>
        <w:t>服务费支付方式：</w:t>
      </w:r>
      <w:r>
        <w:rPr>
          <w:rFonts w:hint="eastAsia" w:ascii="宋体" w:hAnsi="宋体" w:eastAsia="宋体" w:cs="宋体"/>
          <w:sz w:val="24"/>
          <w:lang w:val="en-US" w:eastAsia="zh-CN"/>
        </w:rPr>
        <w:t>银行转账。</w:t>
      </w:r>
      <w:r>
        <w:rPr>
          <w:rFonts w:hint="eastAsia" w:ascii="宋体" w:hAnsi="宋体" w:eastAsia="宋体" w:cs="宋体"/>
          <w:sz w:val="24"/>
        </w:rPr>
        <w:t>签订合同后30个日历天内支付合同金额的</w:t>
      </w:r>
      <w:r>
        <w:rPr>
          <w:rFonts w:hint="eastAsia" w:ascii="宋体" w:hAnsi="宋体" w:eastAsia="宋体" w:cs="宋体"/>
          <w:sz w:val="24"/>
          <w:lang w:val="en-US" w:eastAsia="zh-CN"/>
        </w:rPr>
        <w:t>10</w:t>
      </w:r>
      <w:r>
        <w:rPr>
          <w:rFonts w:hint="eastAsia" w:ascii="宋体" w:hAnsi="宋体" w:eastAsia="宋体" w:cs="宋体"/>
          <w:sz w:val="24"/>
        </w:rPr>
        <w:t>0%，</w:t>
      </w:r>
      <w:r>
        <w:rPr>
          <w:rFonts w:hint="eastAsia" w:ascii="宋体" w:hAnsi="宋体" w:eastAsia="宋体" w:cs="宋体"/>
          <w:sz w:val="24"/>
          <w:lang w:val="en-US" w:eastAsia="zh-CN"/>
        </w:rPr>
        <w:t>即xxxx.00元（人民币大写：xxx整）。</w:t>
      </w:r>
      <w:r>
        <w:rPr>
          <w:rFonts w:hint="eastAsia" w:ascii="宋体" w:hAnsi="宋体" w:eastAsia="宋体" w:cs="宋体"/>
          <w:color w:val="auto"/>
          <w:sz w:val="24"/>
        </w:rPr>
        <w:t>乙方须向甲方出具合法有效完整的完税发票及凭证资料进行支付</w:t>
      </w:r>
      <w:r>
        <w:rPr>
          <w:rFonts w:hint="eastAsia" w:ascii="宋体" w:hAnsi="宋体" w:eastAsia="宋体" w:cs="宋体"/>
          <w:color w:val="auto"/>
          <w:sz w:val="24"/>
          <w:lang w:eastAsia="zh-CN"/>
        </w:rPr>
        <w:t>。在合同履行过程中，如遇国家税率政策变更，对于合同未履行完毕的部分，在原标的含税（单）价不变的基础上，按照新税率重新计算标的</w:t>
      </w:r>
      <w:r>
        <w:rPr>
          <w:rFonts w:hint="eastAsia" w:ascii="宋体" w:hAnsi="宋体" w:eastAsia="宋体" w:cs="宋体"/>
          <w:color w:val="auto"/>
          <w:sz w:val="24"/>
          <w:lang w:val="en-US" w:eastAsia="zh-CN"/>
        </w:rPr>
        <w:t>不</w:t>
      </w:r>
      <w:r>
        <w:rPr>
          <w:rFonts w:hint="eastAsia" w:ascii="宋体" w:hAnsi="宋体" w:eastAsia="宋体" w:cs="宋体"/>
          <w:color w:val="auto"/>
          <w:sz w:val="24"/>
          <w:lang w:eastAsia="zh-CN"/>
        </w:rPr>
        <w:t>含税（单）价/合同总价，并且继续履行，后续不再另行签订补充协议。</w:t>
      </w:r>
    </w:p>
    <w:p w14:paraId="03223767">
      <w:pPr>
        <w:keepNext w:val="0"/>
        <w:keepLines w:val="0"/>
        <w:pageBreakBefore w:val="0"/>
        <w:widowControl w:val="0"/>
        <w:numPr>
          <w:ilvl w:val="0"/>
          <w:numId w:val="3"/>
        </w:numPr>
        <w:tabs>
          <w:tab w:val="left" w:pos="780"/>
        </w:tabs>
        <w:kinsoku/>
        <w:wordWrap/>
        <w:overflowPunct/>
        <w:topLinePunct w:val="0"/>
        <w:autoSpaceDE/>
        <w:autoSpaceDN/>
        <w:bidi w:val="0"/>
        <w:adjustRightInd/>
        <w:snapToGrid/>
        <w:spacing w:line="360" w:lineRule="auto"/>
        <w:ind w:left="0" w:firstLine="567"/>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rPr>
        <w:t>乙方指定收款银行账户信息</w:t>
      </w:r>
      <w:r>
        <w:rPr>
          <w:rFonts w:hint="eastAsia" w:ascii="宋体" w:hAnsi="宋体" w:eastAsia="宋体" w:cs="宋体"/>
          <w:color w:val="auto"/>
          <w:sz w:val="24"/>
        </w:rPr>
        <w:t xml:space="preserve"> ：</w:t>
      </w:r>
    </w:p>
    <w:p w14:paraId="26D77CD6">
      <w:pPr>
        <w:pStyle w:val="6"/>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国税纳税人识别号：</w:t>
      </w:r>
    </w:p>
    <w:p w14:paraId="135FF230">
      <w:pPr>
        <w:pStyle w:val="6"/>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开户名：</w:t>
      </w:r>
    </w:p>
    <w:p w14:paraId="75D2B380">
      <w:pPr>
        <w:pStyle w:val="6"/>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开户行：</w:t>
      </w:r>
    </w:p>
    <w:p w14:paraId="47D7B83F">
      <w:pPr>
        <w:pStyle w:val="6"/>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lang w:val="en-US" w:eastAsia="zh-CN"/>
        </w:rPr>
      </w:pPr>
      <w:r>
        <w:rPr>
          <w:rFonts w:hint="eastAsia" w:ascii="宋体" w:hAnsi="宋体" w:eastAsia="宋体" w:cs="宋体"/>
          <w:kern w:val="2"/>
          <w:sz w:val="24"/>
          <w:szCs w:val="24"/>
          <w:lang w:val="en-US" w:eastAsia="zh-CN" w:bidi="ar-SA"/>
        </w:rPr>
        <w:t>开户账号：</w:t>
      </w:r>
    </w:p>
    <w:p w14:paraId="4C309FE7">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知识产权</w:t>
      </w:r>
    </w:p>
    <w:p w14:paraId="45FD79ED">
      <w:pPr>
        <w:keepNext w:val="0"/>
        <w:keepLines w:val="0"/>
        <w:pageBreakBefore w:val="0"/>
        <w:widowControl w:val="0"/>
        <w:tabs>
          <w:tab w:val="left" w:pos="1440"/>
        </w:tabs>
        <w:kinsoku/>
        <w:wordWrap/>
        <w:overflowPunct/>
        <w:topLinePunct w:val="0"/>
        <w:autoSpaceDE/>
        <w:autoSpaceDN/>
        <w:bidi w:val="0"/>
        <w:snapToGrid/>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乙方应保证所提供的服务或其任何一部分均不会侵犯任何第三方的专利权、商标权或著作权。</w:t>
      </w:r>
    </w:p>
    <w:p w14:paraId="2F736CCE">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甲方的权利和义务</w:t>
      </w:r>
    </w:p>
    <w:p w14:paraId="47F16C3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1、甲方有权对合同规定范围内乙方的服务行为进行监督和检查，拥有监管权。有权定期核对乙方提供服务所配备的人员数量。对甲方认为不合理的部分有权下达整改通知书，并要求乙方限期整改。</w:t>
      </w:r>
    </w:p>
    <w:p w14:paraId="5B63B2C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2、甲方有权依据双方签订的考评办法对乙方提供的服务进行定期考评。</w:t>
      </w:r>
    </w:p>
    <w:p w14:paraId="0A1B2F5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3、负责检查监督乙方管理工作的实施及制度的执行情况。</w:t>
      </w:r>
    </w:p>
    <w:p w14:paraId="0809B6D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4、根据本合同规定，按时向乙方支付应付服务费用。</w:t>
      </w:r>
    </w:p>
    <w:p w14:paraId="5FA2FC5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5、国家法律、法规所规定由甲方承担的其它责任。</w:t>
      </w:r>
    </w:p>
    <w:p w14:paraId="4A24EDE9">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乙方的权利和义务</w:t>
      </w:r>
    </w:p>
    <w:p w14:paraId="25966DD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1、对本合同规定的委托服务范围内的项目享有管理权及服务义务。</w:t>
      </w:r>
    </w:p>
    <w:p w14:paraId="0C266A0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2、根据本合同的规定向甲方收取相关服务费用，并有权在本项目管理范围内管理及合理使用。</w:t>
      </w:r>
    </w:p>
    <w:p w14:paraId="0B35470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3、及时向甲方通告本项目服务范围内有关服务的重大事项，及时配合处理投诉。</w:t>
      </w:r>
    </w:p>
    <w:p w14:paraId="0EC4E5C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bCs/>
          <w:color w:val="auto"/>
          <w:sz w:val="24"/>
          <w:szCs w:val="24"/>
          <w:highlight w:val="none"/>
        </w:rPr>
        <w:t>接受项目行业管理部门及政府有关部门的指导，接受甲方的监督。</w:t>
      </w:r>
    </w:p>
    <w:p w14:paraId="39DE07C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5、国家法律、法规所规定由乙方承担的其它责任。</w:t>
      </w:r>
    </w:p>
    <w:p w14:paraId="5453EBBB">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违约责任</w:t>
      </w:r>
    </w:p>
    <w:p w14:paraId="4298235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1、甲乙双方必须遵守本合同并执行合同中的各项规定，保证本合同的正常履行。</w:t>
      </w:r>
    </w:p>
    <w:p w14:paraId="2E674CA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2、甲</w:t>
      </w:r>
      <w:r>
        <w:rPr>
          <w:rFonts w:hint="eastAsia" w:ascii="宋体" w:hAnsi="宋体" w:eastAsia="宋体" w:cs="宋体"/>
          <w:bCs/>
          <w:color w:val="auto"/>
          <w:sz w:val="24"/>
          <w:szCs w:val="24"/>
          <w:highlight w:val="none"/>
          <w:lang w:val="en-US" w:eastAsia="zh-CN"/>
        </w:rPr>
        <w:t>方</w:t>
      </w:r>
      <w:r>
        <w:rPr>
          <w:rFonts w:hint="eastAsia" w:ascii="宋体" w:hAnsi="宋体" w:eastAsia="宋体" w:cs="宋体"/>
          <w:bCs/>
          <w:color w:val="auto"/>
          <w:sz w:val="24"/>
          <w:szCs w:val="24"/>
          <w:highlight w:val="none"/>
        </w:rPr>
        <w:t>逾期未付费，每逾期一日，按逾期应付款额的3‰计算违约金；甲方逾期30日未支付费用的，乙方有权选择解除合同。甲方除应承担违约金以外，还应及时支付所欠所有费用。</w:t>
      </w:r>
    </w:p>
    <w:p w14:paraId="066735F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2553A2D7">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不可抗力事件处理</w:t>
      </w:r>
    </w:p>
    <w:p w14:paraId="5685A7F4">
      <w:pPr>
        <w:keepNext w:val="0"/>
        <w:keepLines w:val="0"/>
        <w:pageBreakBefore w:val="0"/>
        <w:widowControl w:val="0"/>
        <w:tabs>
          <w:tab w:val="left" w:pos="0"/>
        </w:tabs>
        <w:kinsoku/>
        <w:wordWrap/>
        <w:overflowPunct/>
        <w:topLinePunct w:val="0"/>
        <w:autoSpaceDE/>
        <w:autoSpaceDN/>
        <w:bidi w:val="0"/>
        <w:snapToGrid/>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1、在合同有效期内，任何一方因不可抗力事件导致不能履行合同，则合同履行期可延长，其延长期与不可抗力影响期相同。</w:t>
      </w:r>
    </w:p>
    <w:p w14:paraId="788ED8D6">
      <w:pPr>
        <w:keepNext w:val="0"/>
        <w:keepLines w:val="0"/>
        <w:pageBreakBefore w:val="0"/>
        <w:widowControl w:val="0"/>
        <w:tabs>
          <w:tab w:val="left" w:pos="0"/>
        </w:tabs>
        <w:kinsoku/>
        <w:wordWrap/>
        <w:overflowPunct/>
        <w:topLinePunct w:val="0"/>
        <w:autoSpaceDE/>
        <w:autoSpaceDN/>
        <w:bidi w:val="0"/>
        <w:snapToGrid/>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2、不可抗力事件发生后，应立即通知对方，并寄送有关权威机构出具的证明。</w:t>
      </w:r>
    </w:p>
    <w:p w14:paraId="12CDB75A">
      <w:pPr>
        <w:keepNext w:val="0"/>
        <w:keepLines w:val="0"/>
        <w:pageBreakBefore w:val="0"/>
        <w:widowControl w:val="0"/>
        <w:tabs>
          <w:tab w:val="left" w:pos="0"/>
        </w:tabs>
        <w:kinsoku/>
        <w:wordWrap/>
        <w:overflowPunct/>
        <w:topLinePunct w:val="0"/>
        <w:autoSpaceDE/>
        <w:autoSpaceDN/>
        <w:bidi w:val="0"/>
        <w:snapToGrid/>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3、不可抗力事件延续</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天以上，双方应通过友好协商，确定是否继续履行合同。</w:t>
      </w:r>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14:paraId="1C254640">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bookmarkStart w:id="22" w:name="_Toc241833908"/>
      <w:bookmarkStart w:id="23" w:name="_Toc225244857"/>
      <w:bookmarkStart w:id="24" w:name="_Toc211911353"/>
      <w:bookmarkStart w:id="25" w:name="_Toc239233919"/>
      <w:bookmarkStart w:id="26" w:name="_Toc211854454"/>
      <w:bookmarkStart w:id="27" w:name="_Toc232492933"/>
      <w:bookmarkStart w:id="28" w:name="_Toc247334846"/>
      <w:bookmarkStart w:id="29" w:name="_Toc185395254"/>
      <w:bookmarkStart w:id="30" w:name="_Toc251768867"/>
      <w:bookmarkStart w:id="31" w:name="_Toc286993792"/>
      <w:bookmarkStart w:id="32" w:name="_Toc212019599"/>
      <w:bookmarkStart w:id="33" w:name="_Toc237145411"/>
      <w:bookmarkStart w:id="34" w:name="_Toc238984980"/>
      <w:bookmarkStart w:id="35" w:name="_Toc239568423"/>
      <w:bookmarkStart w:id="36" w:name="_Toc225670756"/>
      <w:bookmarkStart w:id="37" w:name="_Toc225654649"/>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解决合同纠纷的方式</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28162555">
      <w:pPr>
        <w:keepNext w:val="0"/>
        <w:keepLines w:val="0"/>
        <w:pageBreakBefore w:val="0"/>
        <w:tabs>
          <w:tab w:val="left" w:pos="0"/>
        </w:tabs>
        <w:kinsoku/>
        <w:wordWrap/>
        <w:overflowPunct/>
        <w:topLinePunct w:val="0"/>
        <w:autoSpaceDE/>
        <w:autoSpaceDN/>
        <w:bidi w:val="0"/>
        <w:spacing w:line="360" w:lineRule="auto"/>
        <w:ind w:firstLine="480" w:firstLineChars="200"/>
        <w:rPr>
          <w:rFonts w:hint="eastAsia" w:ascii="宋体" w:hAnsi="宋体" w:eastAsia="宋体" w:cs="宋体"/>
          <w:sz w:val="24"/>
        </w:rPr>
      </w:pPr>
      <w:bookmarkStart w:id="38" w:name="_Toc239568424"/>
      <w:bookmarkStart w:id="39" w:name="_Toc282696231"/>
      <w:bookmarkStart w:id="40" w:name="_Toc211911354"/>
      <w:bookmarkStart w:id="41" w:name="_Toc247334847"/>
      <w:bookmarkStart w:id="42" w:name="_Toc225654650"/>
      <w:bookmarkStart w:id="43" w:name="_Toc212019600"/>
      <w:bookmarkStart w:id="44" w:name="_Toc251768868"/>
      <w:bookmarkStart w:id="45" w:name="_Toc225670757"/>
      <w:bookmarkStart w:id="46" w:name="_Toc239233920"/>
      <w:bookmarkStart w:id="47" w:name="_Toc185395255"/>
      <w:bookmarkStart w:id="48" w:name="_Toc237145412"/>
      <w:bookmarkStart w:id="49" w:name="_Toc241833909"/>
      <w:bookmarkStart w:id="50" w:name="_Toc225244858"/>
      <w:bookmarkStart w:id="51" w:name="_Toc232492934"/>
      <w:bookmarkStart w:id="52" w:name="_Toc211854455"/>
      <w:bookmarkStart w:id="53" w:name="_Toc283019219"/>
      <w:bookmarkStart w:id="54" w:name="_Toc286993793"/>
      <w:bookmarkStart w:id="55" w:name="_Toc238984981"/>
      <w:r>
        <w:rPr>
          <w:rFonts w:hint="eastAsia" w:ascii="宋体" w:hAnsi="宋体" w:eastAsia="宋体" w:cs="宋体"/>
          <w:sz w:val="24"/>
        </w:rPr>
        <w:t>在执行本合同中发生的或与本合同有关的争端，双方应通过友好协商解决，经协商在</w:t>
      </w:r>
      <w:r>
        <w:rPr>
          <w:rFonts w:hint="eastAsia" w:ascii="宋体" w:hAnsi="宋体" w:eastAsia="宋体" w:cs="宋体"/>
          <w:sz w:val="24"/>
          <w:lang w:val="en-US" w:eastAsia="zh-CN"/>
        </w:rPr>
        <w:t>30</w:t>
      </w:r>
      <w:r>
        <w:rPr>
          <w:rFonts w:hint="eastAsia" w:ascii="宋体" w:hAnsi="宋体" w:eastAsia="宋体" w:cs="宋体"/>
          <w:sz w:val="24"/>
        </w:rPr>
        <w:t>天内不能达成协议时，应提交采购人所在地</w:t>
      </w:r>
      <w:r>
        <w:rPr>
          <w:rFonts w:hint="eastAsia" w:ascii="宋体" w:hAnsi="宋体" w:eastAsia="宋体" w:cs="宋体"/>
          <w:color w:val="auto"/>
          <w:sz w:val="24"/>
        </w:rPr>
        <w:t>区</w:t>
      </w:r>
      <w:r>
        <w:rPr>
          <w:rFonts w:hint="eastAsia" w:ascii="宋体" w:hAnsi="宋体" w:eastAsia="宋体" w:cs="宋体"/>
          <w:color w:val="auto"/>
          <w:sz w:val="24"/>
          <w:lang w:eastAsia="zh-CN"/>
        </w:rPr>
        <w:t>人民法院管辖</w:t>
      </w:r>
      <w:r>
        <w:rPr>
          <w:rFonts w:hint="eastAsia" w:ascii="宋体" w:hAnsi="宋体" w:eastAsia="宋体" w:cs="宋体"/>
          <w:sz w:val="24"/>
        </w:rPr>
        <w:t>。</w:t>
      </w:r>
    </w:p>
    <w:p w14:paraId="6DB48A3A">
      <w:pPr>
        <w:keepNext w:val="0"/>
        <w:keepLines w:val="0"/>
        <w:pageBreakBefore w:val="0"/>
        <w:widowControl w:val="0"/>
        <w:numPr>
          <w:ilvl w:val="0"/>
          <w:numId w:val="2"/>
        </w:numPr>
        <w:kinsoku/>
        <w:wordWrap/>
        <w:overflowPunct/>
        <w:topLinePunct w:val="0"/>
        <w:autoSpaceDE/>
        <w:autoSpaceDN/>
        <w:bidi w:val="0"/>
        <w:snapToGrid/>
        <w:spacing w:line="360" w:lineRule="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合同</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宋体" w:hAnsi="宋体" w:eastAsia="宋体" w:cs="宋体"/>
          <w:b/>
          <w:color w:val="auto"/>
          <w:sz w:val="24"/>
          <w:szCs w:val="24"/>
          <w:highlight w:val="none"/>
        </w:rPr>
        <w:t>生效及其他</w:t>
      </w:r>
    </w:p>
    <w:p w14:paraId="0B30A4CE">
      <w:pPr>
        <w:pStyle w:val="26"/>
        <w:keepNext w:val="0"/>
        <w:keepLines w:val="0"/>
        <w:pageBreakBefore w:val="0"/>
        <w:widowControl w:val="0"/>
        <w:kinsoku/>
        <w:wordWrap/>
        <w:overflowPunct/>
        <w:topLinePunct w:val="0"/>
        <w:autoSpaceDE/>
        <w:autoSpaceDN/>
        <w:bidi w:val="0"/>
        <w:snapToGrid/>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1、合同经双方法定代表人或授权委托代理人签字并加盖单位公章后生效。</w:t>
      </w:r>
    </w:p>
    <w:p w14:paraId="49ED5AD6">
      <w:pPr>
        <w:pStyle w:val="26"/>
        <w:keepNext w:val="0"/>
        <w:keepLines w:val="0"/>
        <w:pageBreakBefore w:val="0"/>
        <w:widowControl w:val="0"/>
        <w:kinsoku/>
        <w:wordWrap/>
        <w:overflowPunct/>
        <w:topLinePunct w:val="0"/>
        <w:autoSpaceDE/>
        <w:autoSpaceDN/>
        <w:bidi w:val="0"/>
        <w:snapToGrid/>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2、合同执行中涉及采购资金和采购内容修改或补充的，须经政府采购监管部门审批，并签书面补充协议报政府采购监督管理部门备案，方可作为主合同不可分割的一部分。</w:t>
      </w:r>
    </w:p>
    <w:p w14:paraId="79AB9B1A">
      <w:pPr>
        <w:pStyle w:val="26"/>
        <w:keepNext w:val="0"/>
        <w:keepLines w:val="0"/>
        <w:pageBreakBefore w:val="0"/>
        <w:widowControl w:val="0"/>
        <w:kinsoku/>
        <w:wordWrap/>
        <w:overflowPunct/>
        <w:topLinePunct w:val="0"/>
        <w:autoSpaceDE/>
        <w:autoSpaceDN/>
        <w:bidi w:val="0"/>
        <w:snapToGrid/>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3、本合同一式</w:t>
      </w:r>
      <w:r>
        <w:rPr>
          <w:rFonts w:hint="eastAsia" w:ascii="宋体" w:hAnsi="宋体" w:eastAsia="宋体" w:cs="宋体"/>
          <w:color w:val="auto"/>
          <w:sz w:val="24"/>
          <w:szCs w:val="24"/>
          <w:highlight w:val="none"/>
          <w:lang w:val="en-US" w:eastAsia="zh-CN"/>
        </w:rPr>
        <w:t>肆</w:t>
      </w:r>
      <w:r>
        <w:rPr>
          <w:rFonts w:hint="eastAsia" w:ascii="宋体" w:hAnsi="宋体" w:eastAsia="宋体" w:cs="宋体"/>
          <w:color w:val="auto"/>
          <w:sz w:val="24"/>
          <w:szCs w:val="24"/>
          <w:highlight w:val="none"/>
        </w:rPr>
        <w:t>份，自双方签章之日起生效。甲方、乙方</w:t>
      </w:r>
      <w:r>
        <w:rPr>
          <w:rFonts w:hint="eastAsia" w:ascii="宋体" w:hAnsi="宋体" w:eastAsia="宋体" w:cs="宋体"/>
          <w:color w:val="auto"/>
          <w:sz w:val="24"/>
          <w:szCs w:val="24"/>
          <w:highlight w:val="none"/>
          <w:lang w:val="en-US" w:eastAsia="zh-CN"/>
        </w:rPr>
        <w:t>各贰份</w:t>
      </w:r>
      <w:r>
        <w:rPr>
          <w:rFonts w:hint="eastAsia" w:ascii="宋体" w:hAnsi="宋体" w:eastAsia="宋体" w:cs="宋体"/>
          <w:color w:val="auto"/>
          <w:sz w:val="24"/>
          <w:szCs w:val="24"/>
          <w:highlight w:val="none"/>
        </w:rPr>
        <w:t>。</w:t>
      </w:r>
    </w:p>
    <w:p w14:paraId="00FCBEC0">
      <w:pPr>
        <w:pStyle w:val="26"/>
        <w:keepNext w:val="0"/>
        <w:keepLines w:val="0"/>
        <w:pageBreakBefore w:val="0"/>
        <w:widowControl w:val="0"/>
        <w:kinsoku/>
        <w:wordWrap/>
        <w:overflowPunct/>
        <w:topLinePunct w:val="0"/>
        <w:autoSpaceDE/>
        <w:autoSpaceDN/>
        <w:bidi w:val="0"/>
        <w:snapToGrid/>
        <w:spacing w:line="360" w:lineRule="auto"/>
        <w:ind w:firstLine="48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以下为签字页，无正文内容。</w:t>
      </w:r>
    </w:p>
    <w:p w14:paraId="15CCC5B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904D926">
      <w:pPr>
        <w:rPr>
          <w:rFonts w:hint="eastAsia" w:ascii="宋体" w:hAnsi="宋体" w:eastAsia="宋体" w:cs="宋体"/>
        </w:rPr>
      </w:pPr>
    </w:p>
    <w:p w14:paraId="1C365E10">
      <w:pPr>
        <w:widowControl/>
        <w:jc w:val="left"/>
        <w:rPr>
          <w:rFonts w:hint="eastAsia" w:ascii="宋体" w:hAnsi="宋体" w:eastAsia="宋体" w:cs="宋体"/>
          <w:sz w:val="24"/>
          <w:szCs w:val="24"/>
        </w:rPr>
      </w:pPr>
    </w:p>
    <w:p w14:paraId="29ECFB96">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甲方：（公章）                       乙方：（公章）         </w:t>
      </w:r>
    </w:p>
    <w:p w14:paraId="64041CE1">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w:t>
      </w:r>
    </w:p>
    <w:p w14:paraId="4591C268">
      <w:pPr>
        <w:spacing w:line="360" w:lineRule="auto"/>
        <w:jc w:val="left"/>
        <w:rPr>
          <w:rFonts w:hint="eastAsia" w:ascii="宋体" w:hAnsi="宋体" w:eastAsia="宋体" w:cs="宋体"/>
          <w:sz w:val="24"/>
          <w:szCs w:val="24"/>
        </w:rPr>
      </w:pPr>
      <w:r>
        <w:rPr>
          <w:rFonts w:hint="eastAsia" w:ascii="宋体" w:hAnsi="宋体" w:eastAsia="宋体" w:cs="宋体"/>
          <w:sz w:val="24"/>
          <w:szCs w:val="24"/>
        </w:rPr>
        <w:t>法定代表人（授权代表）：             法定代表人（授权代表）：</w:t>
      </w:r>
    </w:p>
    <w:p w14:paraId="3A1CAECA">
      <w:pPr>
        <w:spacing w:line="360" w:lineRule="auto"/>
        <w:jc w:val="left"/>
        <w:rPr>
          <w:rFonts w:hint="eastAsia" w:ascii="宋体" w:hAnsi="宋体" w:eastAsia="宋体" w:cs="宋体"/>
          <w:sz w:val="24"/>
          <w:szCs w:val="24"/>
        </w:rPr>
      </w:pPr>
    </w:p>
    <w:p w14:paraId="423F28FC">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地址：                              地址：</w:t>
      </w:r>
    </w:p>
    <w:p w14:paraId="59907A68">
      <w:pPr>
        <w:spacing w:line="360" w:lineRule="auto"/>
        <w:jc w:val="left"/>
        <w:rPr>
          <w:rFonts w:hint="eastAsia" w:ascii="宋体" w:hAnsi="宋体" w:eastAsia="宋体" w:cs="宋体"/>
          <w:sz w:val="24"/>
          <w:szCs w:val="24"/>
        </w:rPr>
      </w:pPr>
    </w:p>
    <w:p w14:paraId="7BD5B03F">
      <w:pPr>
        <w:spacing w:line="360" w:lineRule="auto"/>
        <w:jc w:val="left"/>
        <w:rPr>
          <w:rFonts w:hint="eastAsia" w:ascii="宋体" w:hAnsi="宋体" w:eastAsia="宋体" w:cs="宋体"/>
          <w:sz w:val="24"/>
          <w:szCs w:val="24"/>
        </w:rPr>
      </w:pPr>
      <w:r>
        <w:rPr>
          <w:rFonts w:hint="eastAsia" w:ascii="宋体" w:hAnsi="宋体" w:eastAsia="宋体" w:cs="宋体"/>
          <w:sz w:val="24"/>
          <w:szCs w:val="24"/>
        </w:rPr>
        <w:t>签订日期：    年   月   日          签订日期：   年   月   日</w:t>
      </w:r>
    </w:p>
    <w:p w14:paraId="1CE9337A">
      <w:pPr>
        <w:rPr>
          <w:rFonts w:hint="eastAsia" w:ascii="宋体" w:hAnsi="宋体" w:eastAsia="宋体" w:cs="宋体"/>
          <w:b/>
          <w:bCs/>
          <w:color w:val="FF0000"/>
          <w:sz w:val="24"/>
          <w:szCs w:val="24"/>
          <w:lang w:val="en-US" w:eastAsia="zh-CN"/>
        </w:rPr>
      </w:pPr>
    </w:p>
    <w:p w14:paraId="0D4363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br w:type="page"/>
      </w:r>
    </w:p>
    <w:p w14:paraId="579B8C3E">
      <w:pPr>
        <w:pStyle w:val="27"/>
        <w:keepNext w:val="0"/>
        <w:keepLines w:val="0"/>
        <w:pageBreakBefore w:val="0"/>
        <w:widowControl/>
        <w:kinsoku/>
        <w:wordWrap/>
        <w:overflowPunct/>
        <w:topLinePunct w:val="0"/>
        <w:autoSpaceDE/>
        <w:autoSpaceDN/>
        <w:bidi w:val="0"/>
        <w:adjustRightInd/>
        <w:snapToGrid/>
        <w:spacing w:before="0" w:after="0" w:afterLines="100" w:line="560" w:lineRule="exact"/>
        <w:ind w:left="0" w:leftChars="0" w:right="0" w:firstLine="0" w:firstLineChars="0"/>
        <w:jc w:val="both"/>
        <w:textAlignment w:val="auto"/>
        <w:rPr>
          <w:rFonts w:hint="default"/>
        </w:rPr>
      </w:pPr>
      <w:r>
        <w:rPr>
          <w:rFonts w:hint="default" w:ascii="Times New Roman" w:hAnsi="Times New Roman" w:eastAsia="方正仿宋简体" w:cs="Times New Roman"/>
          <w:b/>
          <w:i w:val="0"/>
          <w:spacing w:val="0"/>
          <w:sz w:val="28"/>
          <w:szCs w:val="28"/>
        </w:rPr>
        <w:t>附件：年度服务考核评分表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1125"/>
        <w:gridCol w:w="1605"/>
        <w:gridCol w:w="2745"/>
        <w:gridCol w:w="1480"/>
      </w:tblGrid>
      <w:tr w14:paraId="7458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601" w:type="dxa"/>
            <w:vAlign w:val="center"/>
          </w:tcPr>
          <w:p w14:paraId="015F532F">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bCs/>
                <w:i w:val="0"/>
                <w:spacing w:val="0"/>
                <w:sz w:val="24"/>
                <w:szCs w:val="24"/>
                <w:vertAlign w:val="baseline"/>
              </w:rPr>
            </w:pPr>
            <w:r>
              <w:rPr>
                <w:rFonts w:hint="default" w:ascii="Times New Roman" w:hAnsi="Times New Roman" w:eastAsia="方正仿宋简体" w:cs="Times New Roman"/>
                <w:b/>
                <w:bCs/>
                <w:i w:val="0"/>
                <w:spacing w:val="0"/>
                <w:sz w:val="24"/>
                <w:szCs w:val="24"/>
              </w:rPr>
              <w:t>考核维度</w:t>
            </w:r>
          </w:p>
        </w:tc>
        <w:tc>
          <w:tcPr>
            <w:tcW w:w="1125" w:type="dxa"/>
            <w:vAlign w:val="center"/>
          </w:tcPr>
          <w:p w14:paraId="6A446461">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bCs/>
                <w:i w:val="0"/>
                <w:spacing w:val="0"/>
                <w:sz w:val="24"/>
                <w:szCs w:val="24"/>
                <w:vertAlign w:val="baseline"/>
              </w:rPr>
            </w:pPr>
            <w:r>
              <w:rPr>
                <w:rFonts w:hint="default" w:ascii="Times New Roman" w:hAnsi="Times New Roman" w:eastAsia="方正仿宋简体" w:cs="Times New Roman"/>
                <w:b/>
                <w:bCs/>
                <w:i w:val="0"/>
                <w:spacing w:val="0"/>
                <w:sz w:val="24"/>
                <w:szCs w:val="24"/>
              </w:rPr>
              <w:t>权重</w:t>
            </w:r>
          </w:p>
        </w:tc>
        <w:tc>
          <w:tcPr>
            <w:tcW w:w="1605" w:type="dxa"/>
            <w:vAlign w:val="center"/>
          </w:tcPr>
          <w:p w14:paraId="75AA9DA9">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bCs/>
                <w:i w:val="0"/>
                <w:spacing w:val="0"/>
                <w:sz w:val="24"/>
                <w:szCs w:val="24"/>
                <w:vertAlign w:val="baseline"/>
              </w:rPr>
            </w:pPr>
            <w:r>
              <w:rPr>
                <w:rFonts w:hint="default" w:ascii="Times New Roman" w:hAnsi="Times New Roman" w:eastAsia="方正仿宋简体" w:cs="Times New Roman"/>
                <w:b/>
                <w:bCs/>
                <w:i w:val="0"/>
                <w:spacing w:val="0"/>
                <w:sz w:val="24"/>
                <w:szCs w:val="24"/>
              </w:rPr>
              <w:t>细分指标</w:t>
            </w:r>
          </w:p>
        </w:tc>
        <w:tc>
          <w:tcPr>
            <w:tcW w:w="2745" w:type="dxa"/>
            <w:vAlign w:val="center"/>
          </w:tcPr>
          <w:p w14:paraId="24CAE8FA">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bCs/>
                <w:i w:val="0"/>
                <w:spacing w:val="0"/>
                <w:sz w:val="24"/>
                <w:szCs w:val="24"/>
                <w:vertAlign w:val="baseline"/>
              </w:rPr>
            </w:pPr>
            <w:r>
              <w:rPr>
                <w:rFonts w:hint="default" w:ascii="Times New Roman" w:hAnsi="Times New Roman" w:eastAsia="方正仿宋简体" w:cs="Times New Roman"/>
                <w:b/>
                <w:bCs/>
                <w:i w:val="0"/>
                <w:spacing w:val="0"/>
                <w:sz w:val="24"/>
                <w:szCs w:val="24"/>
              </w:rPr>
              <w:t>评分标准</w:t>
            </w:r>
          </w:p>
        </w:tc>
        <w:tc>
          <w:tcPr>
            <w:tcW w:w="1480" w:type="dxa"/>
            <w:vAlign w:val="center"/>
          </w:tcPr>
          <w:p w14:paraId="15B2FFEF">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bCs/>
                <w:i w:val="0"/>
                <w:spacing w:val="0"/>
                <w:sz w:val="24"/>
                <w:szCs w:val="24"/>
                <w:vertAlign w:val="baseline"/>
              </w:rPr>
            </w:pPr>
            <w:r>
              <w:rPr>
                <w:rFonts w:hint="default" w:ascii="Times New Roman" w:hAnsi="Times New Roman" w:eastAsia="方正仿宋简体" w:cs="Times New Roman"/>
                <w:b/>
                <w:bCs/>
                <w:i w:val="0"/>
                <w:spacing w:val="0"/>
                <w:sz w:val="24"/>
                <w:szCs w:val="24"/>
              </w:rPr>
              <w:t>得分</w:t>
            </w:r>
          </w:p>
        </w:tc>
      </w:tr>
      <w:tr w14:paraId="013D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601" w:type="dxa"/>
            <w:vAlign w:val="center"/>
          </w:tcPr>
          <w:p w14:paraId="222A4D14">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eastAsia" w:ascii="Times New Roman" w:hAnsi="Times New Roman" w:eastAsia="方正仿宋简体" w:cs="Times New Roman"/>
                <w:b w:val="0"/>
                <w:i w:val="0"/>
                <w:spacing w:val="0"/>
                <w:sz w:val="24"/>
                <w:szCs w:val="24"/>
                <w:vertAlign w:val="baseline"/>
                <w:lang w:eastAsia="zh-CN"/>
              </w:rPr>
            </w:pPr>
            <w:r>
              <w:rPr>
                <w:rFonts w:hint="default" w:ascii="Times New Roman" w:hAnsi="Times New Roman" w:eastAsia="方正仿宋简体" w:cs="Times New Roman"/>
                <w:b w:val="0"/>
                <w:i w:val="0"/>
                <w:spacing w:val="0"/>
                <w:sz w:val="24"/>
                <w:szCs w:val="24"/>
              </w:rPr>
              <w:t>网络</w:t>
            </w:r>
            <w:r>
              <w:rPr>
                <w:rFonts w:hint="eastAsia" w:ascii="Times New Roman" w:hAnsi="Times New Roman" w:eastAsia="方正仿宋简体" w:cs="Times New Roman"/>
                <w:b w:val="0"/>
                <w:i w:val="0"/>
                <w:spacing w:val="0"/>
                <w:sz w:val="24"/>
                <w:szCs w:val="24"/>
                <w:lang w:val="en-US" w:eastAsia="zh-CN"/>
              </w:rPr>
              <w:t>稳定性</w:t>
            </w:r>
          </w:p>
        </w:tc>
        <w:tc>
          <w:tcPr>
            <w:tcW w:w="1125" w:type="dxa"/>
            <w:vAlign w:val="center"/>
          </w:tcPr>
          <w:p w14:paraId="4F7E1645">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r>
              <w:rPr>
                <w:rFonts w:hint="default" w:ascii="Times New Roman" w:hAnsi="Times New Roman" w:eastAsia="方正仿宋简体" w:cs="Times New Roman"/>
                <w:b w:val="0"/>
                <w:i w:val="0"/>
                <w:spacing w:val="0"/>
                <w:sz w:val="24"/>
                <w:szCs w:val="24"/>
              </w:rPr>
              <w:t>40%</w:t>
            </w:r>
          </w:p>
        </w:tc>
        <w:tc>
          <w:tcPr>
            <w:tcW w:w="1605" w:type="dxa"/>
            <w:vAlign w:val="center"/>
          </w:tcPr>
          <w:p w14:paraId="2934E3E0">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r>
              <w:rPr>
                <w:rFonts w:hint="eastAsia" w:ascii="Times New Roman" w:hAnsi="Times New Roman" w:eastAsia="方正仿宋简体" w:cs="Times New Roman"/>
                <w:b w:val="0"/>
                <w:i w:val="0"/>
                <w:spacing w:val="0"/>
                <w:sz w:val="24"/>
                <w:szCs w:val="24"/>
                <w:lang w:val="en-US" w:eastAsia="zh-CN"/>
              </w:rPr>
              <w:t>网络</w:t>
            </w:r>
            <w:r>
              <w:rPr>
                <w:rFonts w:hint="default" w:ascii="Times New Roman" w:hAnsi="Times New Roman" w:eastAsia="方正仿宋简体" w:cs="Times New Roman"/>
                <w:b w:val="0"/>
                <w:i w:val="0"/>
                <w:spacing w:val="0"/>
                <w:sz w:val="24"/>
                <w:szCs w:val="24"/>
              </w:rPr>
              <w:t>稳定性</w:t>
            </w:r>
          </w:p>
        </w:tc>
        <w:tc>
          <w:tcPr>
            <w:tcW w:w="2745" w:type="dxa"/>
            <w:vAlign w:val="center"/>
          </w:tcPr>
          <w:p w14:paraId="37454643">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left"/>
              <w:textAlignment w:val="auto"/>
              <w:rPr>
                <w:rFonts w:hint="default" w:ascii="Times New Roman" w:hAnsi="Times New Roman" w:eastAsia="方正仿宋简体" w:cs="Times New Roman"/>
                <w:b w:val="0"/>
                <w:i w:val="0"/>
                <w:spacing w:val="0"/>
                <w:sz w:val="24"/>
                <w:szCs w:val="24"/>
                <w:vertAlign w:val="baseline"/>
              </w:rPr>
            </w:pPr>
            <w:r>
              <w:rPr>
                <w:rFonts w:hint="default" w:ascii="Times New Roman" w:hAnsi="Times New Roman" w:eastAsia="方正仿宋简体" w:cs="Times New Roman"/>
                <w:b w:val="0"/>
                <w:i w:val="0"/>
                <w:spacing w:val="0"/>
                <w:sz w:val="24"/>
                <w:szCs w:val="24"/>
              </w:rPr>
              <w:t>全部链路综合年度可用率≥9</w:t>
            </w:r>
            <w:r>
              <w:rPr>
                <w:rFonts w:hint="eastAsia" w:ascii="Times New Roman" w:hAnsi="Times New Roman" w:eastAsia="方正仿宋简体" w:cs="Times New Roman"/>
                <w:b w:val="0"/>
                <w:i w:val="0"/>
                <w:spacing w:val="0"/>
                <w:sz w:val="24"/>
                <w:szCs w:val="24"/>
                <w:lang w:val="en-US" w:eastAsia="zh-CN"/>
              </w:rPr>
              <w:t>5</w:t>
            </w:r>
            <w:r>
              <w:rPr>
                <w:rFonts w:hint="default" w:ascii="Times New Roman" w:hAnsi="Times New Roman" w:eastAsia="方正仿宋简体" w:cs="Times New Roman"/>
                <w:b w:val="0"/>
                <w:i w:val="0"/>
                <w:spacing w:val="0"/>
                <w:sz w:val="24"/>
                <w:szCs w:val="24"/>
              </w:rPr>
              <w:t>%。</w:t>
            </w:r>
          </w:p>
        </w:tc>
        <w:tc>
          <w:tcPr>
            <w:tcW w:w="1480" w:type="dxa"/>
            <w:vAlign w:val="center"/>
          </w:tcPr>
          <w:p w14:paraId="6AAC71FA">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p>
        </w:tc>
      </w:tr>
      <w:tr w14:paraId="09CB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601" w:type="dxa"/>
            <w:vAlign w:val="center"/>
          </w:tcPr>
          <w:p w14:paraId="2CDD00F1">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r>
              <w:rPr>
                <w:rFonts w:hint="default" w:ascii="Times New Roman" w:hAnsi="Times New Roman" w:eastAsia="方正仿宋简体" w:cs="Times New Roman"/>
                <w:b w:val="0"/>
                <w:i w:val="0"/>
                <w:spacing w:val="0"/>
                <w:sz w:val="24"/>
                <w:szCs w:val="24"/>
              </w:rPr>
              <w:t>服务响应</w:t>
            </w:r>
          </w:p>
        </w:tc>
        <w:tc>
          <w:tcPr>
            <w:tcW w:w="1125" w:type="dxa"/>
            <w:vAlign w:val="center"/>
          </w:tcPr>
          <w:p w14:paraId="1D817427">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r>
              <w:rPr>
                <w:rFonts w:hint="eastAsia" w:ascii="Times New Roman" w:hAnsi="Times New Roman" w:eastAsia="方正仿宋简体" w:cs="Times New Roman"/>
                <w:b w:val="0"/>
                <w:i w:val="0"/>
                <w:spacing w:val="0"/>
                <w:sz w:val="24"/>
                <w:szCs w:val="24"/>
                <w:lang w:val="en-US" w:eastAsia="zh-CN"/>
              </w:rPr>
              <w:t>4</w:t>
            </w:r>
            <w:r>
              <w:rPr>
                <w:rFonts w:hint="default" w:ascii="Times New Roman" w:hAnsi="Times New Roman" w:eastAsia="方正仿宋简体" w:cs="Times New Roman"/>
                <w:b w:val="0"/>
                <w:i w:val="0"/>
                <w:spacing w:val="0"/>
                <w:sz w:val="24"/>
                <w:szCs w:val="24"/>
              </w:rPr>
              <w:t>0%</w:t>
            </w:r>
          </w:p>
        </w:tc>
        <w:tc>
          <w:tcPr>
            <w:tcW w:w="1605" w:type="dxa"/>
            <w:vAlign w:val="center"/>
          </w:tcPr>
          <w:p w14:paraId="4631EEEF">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r>
              <w:rPr>
                <w:rFonts w:hint="default" w:ascii="Times New Roman" w:hAnsi="Times New Roman" w:eastAsia="方正仿宋简体" w:cs="Times New Roman"/>
                <w:b w:val="0"/>
                <w:i w:val="0"/>
                <w:spacing w:val="0"/>
                <w:sz w:val="24"/>
                <w:szCs w:val="24"/>
              </w:rPr>
              <w:t>故障响应与处理时效</w:t>
            </w:r>
          </w:p>
        </w:tc>
        <w:tc>
          <w:tcPr>
            <w:tcW w:w="2745" w:type="dxa"/>
            <w:vAlign w:val="center"/>
          </w:tcPr>
          <w:p w14:paraId="1323EE63">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left"/>
              <w:textAlignment w:val="auto"/>
              <w:rPr>
                <w:rFonts w:hint="default" w:ascii="Times New Roman" w:hAnsi="Times New Roman" w:eastAsia="方正仿宋简体" w:cs="Times New Roman"/>
                <w:b w:val="0"/>
                <w:i w:val="0"/>
                <w:spacing w:val="0"/>
                <w:sz w:val="24"/>
                <w:szCs w:val="24"/>
                <w:vertAlign w:val="baseline"/>
              </w:rPr>
            </w:pPr>
            <w:r>
              <w:rPr>
                <w:rFonts w:hint="default" w:ascii="Times New Roman" w:hAnsi="Times New Roman" w:eastAsia="方正仿宋简体" w:cs="Times New Roman"/>
                <w:b w:val="0"/>
                <w:i w:val="0"/>
                <w:spacing w:val="0"/>
                <w:sz w:val="24"/>
                <w:szCs w:val="24"/>
              </w:rPr>
              <w:t>响应&lt;2小时，处置&lt;12小时。</w:t>
            </w:r>
          </w:p>
        </w:tc>
        <w:tc>
          <w:tcPr>
            <w:tcW w:w="1480" w:type="dxa"/>
            <w:vAlign w:val="center"/>
          </w:tcPr>
          <w:p w14:paraId="79F344D7">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p>
        </w:tc>
      </w:tr>
      <w:tr w14:paraId="4041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601" w:type="dxa"/>
            <w:vAlign w:val="center"/>
          </w:tcPr>
          <w:p w14:paraId="62A0D567">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合规与票据</w:t>
            </w:r>
          </w:p>
        </w:tc>
        <w:tc>
          <w:tcPr>
            <w:tcW w:w="1125" w:type="dxa"/>
            <w:vAlign w:val="center"/>
          </w:tcPr>
          <w:p w14:paraId="1A356A5C">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2"/>
                <w:szCs w:val="22"/>
              </w:rPr>
            </w:pPr>
            <w:r>
              <w:rPr>
                <w:rFonts w:hint="eastAsia" w:ascii="Times New Roman" w:hAnsi="Times New Roman" w:eastAsia="方正仿宋简体" w:cs="Times New Roman"/>
                <w:b w:val="0"/>
                <w:i w:val="0"/>
                <w:spacing w:val="0"/>
                <w:sz w:val="24"/>
                <w:szCs w:val="24"/>
                <w:lang w:val="en-US" w:eastAsia="zh-CN"/>
              </w:rPr>
              <w:t>2</w:t>
            </w:r>
            <w:r>
              <w:rPr>
                <w:rFonts w:hint="default" w:ascii="Times New Roman" w:hAnsi="Times New Roman" w:eastAsia="方正仿宋简体" w:cs="Times New Roman"/>
                <w:b w:val="0"/>
                <w:i w:val="0"/>
                <w:spacing w:val="0"/>
                <w:sz w:val="24"/>
                <w:szCs w:val="24"/>
              </w:rPr>
              <w:t>0%</w:t>
            </w:r>
          </w:p>
        </w:tc>
        <w:tc>
          <w:tcPr>
            <w:tcW w:w="1605" w:type="dxa"/>
            <w:vAlign w:val="center"/>
          </w:tcPr>
          <w:p w14:paraId="6060B0F7">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发票与费用合规</w:t>
            </w:r>
          </w:p>
        </w:tc>
        <w:tc>
          <w:tcPr>
            <w:tcW w:w="2745" w:type="dxa"/>
            <w:vAlign w:val="center"/>
          </w:tcPr>
          <w:p w14:paraId="7FBFF68A">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left"/>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按时提供专票，无额外隐形收费。</w:t>
            </w:r>
          </w:p>
        </w:tc>
        <w:tc>
          <w:tcPr>
            <w:tcW w:w="1480" w:type="dxa"/>
            <w:vAlign w:val="center"/>
          </w:tcPr>
          <w:p w14:paraId="7432B8A1">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p>
        </w:tc>
      </w:tr>
      <w:tr w14:paraId="492C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601" w:type="dxa"/>
            <w:vAlign w:val="center"/>
          </w:tcPr>
          <w:p w14:paraId="3C557F2E">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总分</w:t>
            </w:r>
          </w:p>
        </w:tc>
        <w:tc>
          <w:tcPr>
            <w:tcW w:w="1125" w:type="dxa"/>
            <w:vAlign w:val="center"/>
          </w:tcPr>
          <w:p w14:paraId="1819FF29">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100%</w:t>
            </w:r>
          </w:p>
        </w:tc>
        <w:tc>
          <w:tcPr>
            <w:tcW w:w="1605" w:type="dxa"/>
            <w:vAlign w:val="center"/>
          </w:tcPr>
          <w:p w14:paraId="05DD2E3C">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合格分数线：80分</w:t>
            </w:r>
          </w:p>
        </w:tc>
        <w:tc>
          <w:tcPr>
            <w:tcW w:w="2745" w:type="dxa"/>
            <w:vAlign w:val="center"/>
          </w:tcPr>
          <w:p w14:paraId="40D95068">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left"/>
              <w:textAlignment w:val="auto"/>
              <w:rPr>
                <w:rFonts w:hint="default" w:ascii="Times New Roman" w:hAnsi="Times New Roman" w:eastAsia="方正仿宋简体" w:cs="Times New Roman"/>
                <w:b w:val="0"/>
                <w:i w:val="0"/>
                <w:spacing w:val="0"/>
                <w:sz w:val="22"/>
                <w:szCs w:val="22"/>
              </w:rPr>
            </w:pPr>
            <w:r>
              <w:rPr>
                <w:rFonts w:hint="default" w:ascii="Times New Roman" w:hAnsi="Times New Roman" w:eastAsia="方正仿宋简体" w:cs="Times New Roman"/>
                <w:b w:val="0"/>
                <w:i w:val="0"/>
                <w:spacing w:val="0"/>
                <w:sz w:val="24"/>
                <w:szCs w:val="24"/>
              </w:rPr>
              <w:t>低于80分甲方有权不予续签</w:t>
            </w:r>
          </w:p>
        </w:tc>
        <w:tc>
          <w:tcPr>
            <w:tcW w:w="1480" w:type="dxa"/>
            <w:vAlign w:val="center"/>
          </w:tcPr>
          <w:p w14:paraId="0A4EED43">
            <w:pPr>
              <w:pStyle w:val="25"/>
              <w:keepNext w:val="0"/>
              <w:keepLines w:val="0"/>
              <w:pageBreakBefore w:val="0"/>
              <w:widowControl/>
              <w:kinsoku/>
              <w:wordWrap/>
              <w:overflowPunct/>
              <w:topLinePunct w:val="0"/>
              <w:autoSpaceDE/>
              <w:autoSpaceDN/>
              <w:bidi w:val="0"/>
              <w:adjustRightInd/>
              <w:snapToGrid/>
              <w:spacing w:before="0" w:after="0" w:line="440" w:lineRule="exact"/>
              <w:ind w:left="159" w:leftChars="0" w:right="0" w:rightChars="0" w:firstLine="0" w:firstLineChars="0"/>
              <w:jc w:val="center"/>
              <w:textAlignment w:val="auto"/>
              <w:rPr>
                <w:rFonts w:hint="default" w:ascii="Times New Roman" w:hAnsi="Times New Roman" w:eastAsia="方正仿宋简体" w:cs="Times New Roman"/>
                <w:b w:val="0"/>
                <w:i w:val="0"/>
                <w:spacing w:val="0"/>
                <w:sz w:val="24"/>
                <w:szCs w:val="24"/>
                <w:vertAlign w:val="baseline"/>
              </w:rPr>
            </w:pPr>
          </w:p>
        </w:tc>
      </w:tr>
    </w:tbl>
    <w:p w14:paraId="4A0C9CE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p>
    <w:p w14:paraId="79E9BB07">
      <w:pPr>
        <w:pStyle w:val="2"/>
        <w:keepNext w:val="0"/>
        <w:keepLines w:val="0"/>
        <w:pageBreakBefore w:val="0"/>
        <w:kinsoku/>
        <w:wordWrap/>
        <w:overflowPunct/>
        <w:topLinePunct w:val="0"/>
        <w:autoSpaceDE/>
        <w:autoSpaceDN/>
        <w:bidi w:val="0"/>
        <w:adjustRightInd/>
        <w:spacing w:line="240" w:lineRule="auto"/>
        <w:ind w:left="0"/>
        <w:rPr>
          <w:rFonts w:hint="eastAsia" w:ascii="宋体" w:hAnsi="宋体" w:eastAsia="宋体" w:cs="宋体"/>
          <w:sz w:val="28"/>
          <w:szCs w:val="28"/>
          <w:lang w:val="en-US" w:eastAsia="zh-CN"/>
        </w:rPr>
      </w:pPr>
    </w:p>
    <w:p w14:paraId="370CC1AC">
      <w:pPr>
        <w:bidi w:val="0"/>
        <w:rPr>
          <w:rFonts w:hint="default" w:ascii="黑体" w:hAnsi="黑体" w:eastAsia="黑体" w:cs="黑体"/>
          <w:sz w:val="32"/>
          <w:szCs w:val="28"/>
          <w:lang w:val="en-US" w:eastAsia="zh-CN"/>
        </w:rPr>
      </w:pPr>
    </w:p>
    <w:sectPr>
      <w:headerReference r:id="rId3" w:type="default"/>
      <w:footerReference r:id="rId4" w:type="default"/>
      <w:pgSz w:w="11906" w:h="16838"/>
      <w:pgMar w:top="2098" w:right="1587" w:bottom="1587" w:left="1587" w:header="851" w:footer="153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0D08E">
    <w:pPr>
      <w:pStyle w:val="2"/>
      <w:tabs>
        <w:tab w:val="left" w:pos="3102"/>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7CC78">
                          <w:pPr>
                            <w:pStyle w:val="2"/>
                            <w:keepNext w:val="0"/>
                            <w:keepLines w:val="0"/>
                            <w:pageBreakBefore w:val="0"/>
                            <w:widowControl w:val="0"/>
                            <w:kinsoku/>
                            <w:wordWrap/>
                            <w:overflowPunct/>
                            <w:topLinePunct w:val="0"/>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67CC78">
                    <w:pPr>
                      <w:pStyle w:val="2"/>
                      <w:keepNext w:val="0"/>
                      <w:keepLines w:val="0"/>
                      <w:pageBreakBefore w:val="0"/>
                      <w:widowControl w:val="0"/>
                      <w:kinsoku/>
                      <w:wordWrap/>
                      <w:overflowPunct/>
                      <w:topLinePunct w:val="0"/>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B971B7">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B971B7">
                    <w:pPr>
                      <w:pStyle w:val="2"/>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093A3">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9C2199"/>
    <w:multiLevelType w:val="multilevel"/>
    <w:tmpl w:val="1D9C2199"/>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2C4B8D"/>
    <w:multiLevelType w:val="singleLevel"/>
    <w:tmpl w:val="2C2C4B8D"/>
    <w:lvl w:ilvl="0" w:tentative="0">
      <w:start w:val="1"/>
      <w:numFmt w:val="japaneseCounting"/>
      <w:lvlText w:val="第%1条"/>
      <w:lvlJc w:val="left"/>
      <w:pPr>
        <w:tabs>
          <w:tab w:val="left" w:pos="1521"/>
        </w:tabs>
        <w:ind w:left="1521" w:hanging="1095"/>
      </w:pPr>
      <w:rPr>
        <w:rFonts w:hint="eastAsia"/>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zMzM3MDdmNDQ2M2UwMDc3MzA0YzY0OWUwMGE0MzYifQ=="/>
  </w:docVars>
  <w:rsids>
    <w:rsidRoot w:val="31894225"/>
    <w:rsid w:val="03F20200"/>
    <w:rsid w:val="047E7C3A"/>
    <w:rsid w:val="06952D48"/>
    <w:rsid w:val="07A81525"/>
    <w:rsid w:val="07D8759F"/>
    <w:rsid w:val="08ED512C"/>
    <w:rsid w:val="0919178E"/>
    <w:rsid w:val="0925748B"/>
    <w:rsid w:val="0948525F"/>
    <w:rsid w:val="09B302C8"/>
    <w:rsid w:val="0A4D7FFB"/>
    <w:rsid w:val="0A5013C7"/>
    <w:rsid w:val="0AC45170"/>
    <w:rsid w:val="0BC32105"/>
    <w:rsid w:val="0BF73B5D"/>
    <w:rsid w:val="0D611BD6"/>
    <w:rsid w:val="0FD418D3"/>
    <w:rsid w:val="102B2696"/>
    <w:rsid w:val="109F5278"/>
    <w:rsid w:val="11357601"/>
    <w:rsid w:val="113D0D0D"/>
    <w:rsid w:val="11BD75F7"/>
    <w:rsid w:val="11EA35C5"/>
    <w:rsid w:val="13093356"/>
    <w:rsid w:val="13CF4568"/>
    <w:rsid w:val="142B3F4B"/>
    <w:rsid w:val="14AC1ECC"/>
    <w:rsid w:val="14B27678"/>
    <w:rsid w:val="153E179C"/>
    <w:rsid w:val="15715C96"/>
    <w:rsid w:val="179778F6"/>
    <w:rsid w:val="17DE3E23"/>
    <w:rsid w:val="18BE612E"/>
    <w:rsid w:val="19E716B5"/>
    <w:rsid w:val="1ADA0BDB"/>
    <w:rsid w:val="1B1B2662"/>
    <w:rsid w:val="1B481CDF"/>
    <w:rsid w:val="1C4A1A87"/>
    <w:rsid w:val="1D1C4499"/>
    <w:rsid w:val="1DF60118"/>
    <w:rsid w:val="1DFD4A7D"/>
    <w:rsid w:val="1E4470D6"/>
    <w:rsid w:val="1E6B69F4"/>
    <w:rsid w:val="1F8B2AE2"/>
    <w:rsid w:val="21AD2ADB"/>
    <w:rsid w:val="233B2890"/>
    <w:rsid w:val="2378337E"/>
    <w:rsid w:val="2419690F"/>
    <w:rsid w:val="241E5511"/>
    <w:rsid w:val="247845B6"/>
    <w:rsid w:val="249457CB"/>
    <w:rsid w:val="24B93C4E"/>
    <w:rsid w:val="24DB0068"/>
    <w:rsid w:val="251B47D5"/>
    <w:rsid w:val="25C96113"/>
    <w:rsid w:val="261B15C4"/>
    <w:rsid w:val="26495385"/>
    <w:rsid w:val="271377A8"/>
    <w:rsid w:val="27167136"/>
    <w:rsid w:val="273D4D07"/>
    <w:rsid w:val="274A5CDE"/>
    <w:rsid w:val="276A72A6"/>
    <w:rsid w:val="28321DB0"/>
    <w:rsid w:val="28A5282C"/>
    <w:rsid w:val="2A856DCB"/>
    <w:rsid w:val="2B4A73A8"/>
    <w:rsid w:val="2C5A5D16"/>
    <w:rsid w:val="2CD921FA"/>
    <w:rsid w:val="2D2307FE"/>
    <w:rsid w:val="2D7050C6"/>
    <w:rsid w:val="2F1663A4"/>
    <w:rsid w:val="304B42F4"/>
    <w:rsid w:val="30596013"/>
    <w:rsid w:val="308C70F9"/>
    <w:rsid w:val="30E563C3"/>
    <w:rsid w:val="31894225"/>
    <w:rsid w:val="320F3A3F"/>
    <w:rsid w:val="3421711A"/>
    <w:rsid w:val="349D49F2"/>
    <w:rsid w:val="35593941"/>
    <w:rsid w:val="356967E3"/>
    <w:rsid w:val="35FC1151"/>
    <w:rsid w:val="364F7F6E"/>
    <w:rsid w:val="36AE1B85"/>
    <w:rsid w:val="372E66B4"/>
    <w:rsid w:val="37DC4063"/>
    <w:rsid w:val="37E204AC"/>
    <w:rsid w:val="38286CC9"/>
    <w:rsid w:val="394713D0"/>
    <w:rsid w:val="39BA5F14"/>
    <w:rsid w:val="3A635C3D"/>
    <w:rsid w:val="3ADB02AD"/>
    <w:rsid w:val="3D8718D5"/>
    <w:rsid w:val="3F852C53"/>
    <w:rsid w:val="404116A2"/>
    <w:rsid w:val="41166B30"/>
    <w:rsid w:val="4171233F"/>
    <w:rsid w:val="42843525"/>
    <w:rsid w:val="45BF387F"/>
    <w:rsid w:val="45F615DA"/>
    <w:rsid w:val="45F70AD0"/>
    <w:rsid w:val="4687522D"/>
    <w:rsid w:val="46E64EC4"/>
    <w:rsid w:val="4AEE3DA2"/>
    <w:rsid w:val="4B3043BA"/>
    <w:rsid w:val="4C081728"/>
    <w:rsid w:val="4C481290"/>
    <w:rsid w:val="4CCD4519"/>
    <w:rsid w:val="4DFF1E22"/>
    <w:rsid w:val="4E481A1B"/>
    <w:rsid w:val="4F290CEB"/>
    <w:rsid w:val="505F4DFA"/>
    <w:rsid w:val="50724508"/>
    <w:rsid w:val="512204EE"/>
    <w:rsid w:val="51ED6884"/>
    <w:rsid w:val="521B614E"/>
    <w:rsid w:val="523321FF"/>
    <w:rsid w:val="52A33FAD"/>
    <w:rsid w:val="52FD5C6E"/>
    <w:rsid w:val="53A01EBE"/>
    <w:rsid w:val="53D643BD"/>
    <w:rsid w:val="54395957"/>
    <w:rsid w:val="548575DE"/>
    <w:rsid w:val="550309AE"/>
    <w:rsid w:val="55B6370E"/>
    <w:rsid w:val="56332FB1"/>
    <w:rsid w:val="577A0ADC"/>
    <w:rsid w:val="57803432"/>
    <w:rsid w:val="57EB406C"/>
    <w:rsid w:val="584E1FBB"/>
    <w:rsid w:val="58FC49D1"/>
    <w:rsid w:val="59031878"/>
    <w:rsid w:val="599219D8"/>
    <w:rsid w:val="5A2D4A00"/>
    <w:rsid w:val="5A51252E"/>
    <w:rsid w:val="5AAB269B"/>
    <w:rsid w:val="5AE961F8"/>
    <w:rsid w:val="5BC776FE"/>
    <w:rsid w:val="5D254A0F"/>
    <w:rsid w:val="5DE80B25"/>
    <w:rsid w:val="5DF440DB"/>
    <w:rsid w:val="5F257C2F"/>
    <w:rsid w:val="5FE60F35"/>
    <w:rsid w:val="60191F01"/>
    <w:rsid w:val="609C4E72"/>
    <w:rsid w:val="60D11142"/>
    <w:rsid w:val="615304DA"/>
    <w:rsid w:val="62900E3F"/>
    <w:rsid w:val="63293D73"/>
    <w:rsid w:val="63657A8F"/>
    <w:rsid w:val="64566723"/>
    <w:rsid w:val="64B913CA"/>
    <w:rsid w:val="654E74BF"/>
    <w:rsid w:val="6780351C"/>
    <w:rsid w:val="679715F1"/>
    <w:rsid w:val="68750863"/>
    <w:rsid w:val="68AA3E27"/>
    <w:rsid w:val="697A2F79"/>
    <w:rsid w:val="6A1D206E"/>
    <w:rsid w:val="6A1F58CE"/>
    <w:rsid w:val="6A2A28DA"/>
    <w:rsid w:val="6A391137"/>
    <w:rsid w:val="6AD07272"/>
    <w:rsid w:val="6B4876FD"/>
    <w:rsid w:val="6C0974C5"/>
    <w:rsid w:val="6C5B3B1F"/>
    <w:rsid w:val="6C89733D"/>
    <w:rsid w:val="6D6F6D96"/>
    <w:rsid w:val="6EE058B2"/>
    <w:rsid w:val="6EE90D5D"/>
    <w:rsid w:val="6EF2535F"/>
    <w:rsid w:val="704F71E5"/>
    <w:rsid w:val="712B2DAA"/>
    <w:rsid w:val="72161365"/>
    <w:rsid w:val="7270316B"/>
    <w:rsid w:val="72F92D5E"/>
    <w:rsid w:val="7546187A"/>
    <w:rsid w:val="75FF76C8"/>
    <w:rsid w:val="77036AC8"/>
    <w:rsid w:val="788D60F9"/>
    <w:rsid w:val="79872B48"/>
    <w:rsid w:val="79FA5A10"/>
    <w:rsid w:val="7A6318EE"/>
    <w:rsid w:val="7AC93D5A"/>
    <w:rsid w:val="7AD64BB1"/>
    <w:rsid w:val="7CCD52A7"/>
    <w:rsid w:val="7D8F021D"/>
    <w:rsid w:val="7F0231A2"/>
    <w:rsid w:val="7F3C5463"/>
    <w:rsid w:val="7F497305"/>
    <w:rsid w:val="7F912972"/>
    <w:rsid w:val="7F9F6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autoRedefine/>
    <w:qFormat/>
    <w:uiPriority w:val="0"/>
    <w:pPr>
      <w:keepNext/>
      <w:keepLines/>
      <w:spacing w:beforeLines="0" w:beforeAutospacing="0" w:afterLines="0" w:afterAutospacing="0" w:line="560" w:lineRule="exact"/>
      <w:ind w:firstLine="720" w:firstLineChars="200"/>
      <w:outlineLvl w:val="2"/>
    </w:pPr>
    <w:rPr>
      <w:rFonts w:ascii="Times New Roman" w:hAnsi="Times New Roman" w:eastAsia="楷体_GB2312"/>
      <w:b/>
      <w:sz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semiHidden/>
    <w:qFormat/>
    <w:uiPriority w:val="99"/>
    <w:pPr>
      <w:tabs>
        <w:tab w:val="center" w:pos="4153"/>
        <w:tab w:val="right" w:pos="8306"/>
      </w:tabs>
      <w:snapToGrid w:val="0"/>
      <w:jc w:val="left"/>
    </w:pPr>
    <w:rPr>
      <w:sz w:val="18"/>
      <w:szCs w:val="18"/>
    </w:rPr>
  </w:style>
  <w:style w:type="paragraph" w:styleId="6">
    <w:name w:val="Body Text"/>
    <w:basedOn w:val="1"/>
    <w:next w:val="7"/>
    <w:autoRedefine/>
    <w:qFormat/>
    <w:uiPriority w:val="0"/>
    <w:pPr>
      <w:spacing w:after="120"/>
    </w:pPr>
  </w:style>
  <w:style w:type="paragraph" w:styleId="7">
    <w:name w:val="Body Text First Indent"/>
    <w:basedOn w:val="6"/>
    <w:qFormat/>
    <w:uiPriority w:val="0"/>
    <w:pPr>
      <w:ind w:firstLine="420" w:firstLineChars="100"/>
    </w:pPr>
  </w:style>
  <w:style w:type="paragraph" w:styleId="8">
    <w:name w:val="Body Text Indent"/>
    <w:basedOn w:val="1"/>
    <w:autoRedefine/>
    <w:qFormat/>
    <w:uiPriority w:val="0"/>
    <w:pPr>
      <w:spacing w:after="120"/>
      <w:ind w:left="420" w:leftChars="200"/>
    </w:pPr>
  </w:style>
  <w:style w:type="paragraph" w:styleId="9">
    <w:name w:val="Plain Text"/>
    <w:basedOn w:val="1"/>
    <w:autoRedefine/>
    <w:qFormat/>
    <w:uiPriority w:val="0"/>
    <w:rPr>
      <w:rFonts w:ascii="宋体" w:hAnsi="Courier New"/>
      <w:szCs w:val="20"/>
    </w:rPr>
  </w:style>
  <w:style w:type="paragraph" w:styleId="10">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8"/>
    <w:next w:val="1"/>
    <w:qFormat/>
    <w:uiPriority w:val="0"/>
    <w:pPr>
      <w:ind w:firstLine="640" w:firstLineChars="200"/>
    </w:pPr>
  </w:style>
  <w:style w:type="table" w:styleId="14">
    <w:name w:val="Table Grid"/>
    <w:basedOn w:val="13"/>
    <w:qFormat/>
    <w:uiPriority w:val="59"/>
    <w:rPr>
      <w:rFonts w:eastAsia="微软雅黑"/>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qFormat/>
    <w:uiPriority w:val="0"/>
  </w:style>
  <w:style w:type="paragraph" w:customStyle="1" w:styleId="18">
    <w:name w:val="标题 5（有编号）（绿盟科技）"/>
    <w:basedOn w:val="1"/>
    <w:next w:val="19"/>
    <w:autoRedefine/>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19">
    <w:name w:val="正文（绿盟科技）"/>
    <w:qFormat/>
    <w:uiPriority w:val="99"/>
    <w:pPr>
      <w:spacing w:line="300" w:lineRule="auto"/>
    </w:pPr>
    <w:rPr>
      <w:rFonts w:ascii="Arial" w:hAnsi="Arial" w:eastAsia="宋体" w:cs="Arial"/>
      <w:sz w:val="21"/>
      <w:szCs w:val="21"/>
      <w:lang w:val="en-US" w:eastAsia="zh-CN" w:bidi="ar-SA"/>
    </w:rPr>
  </w:style>
  <w:style w:type="paragraph" w:styleId="20">
    <w:name w:val="Quote"/>
    <w:next w:val="1"/>
    <w:autoRedefine/>
    <w:qFormat/>
    <w:uiPriority w:val="0"/>
    <w:rPr>
      <w:rFonts w:ascii="Times New Roman" w:hAnsi="Times New Roman" w:eastAsia="宋体" w:cs="Times New Roman"/>
      <w:i/>
      <w:iCs/>
      <w:color w:val="000000"/>
      <w:sz w:val="21"/>
      <w:lang w:val="en-US" w:eastAsia="zh-CN" w:bidi="ar-SA"/>
    </w:rPr>
  </w:style>
  <w:style w:type="paragraph" w:customStyle="1" w:styleId="21">
    <w:name w:val="列出段落1"/>
    <w:basedOn w:val="1"/>
    <w:autoRedefine/>
    <w:qFormat/>
    <w:uiPriority w:val="99"/>
    <w:pPr>
      <w:ind w:firstLine="420" w:firstLineChars="200"/>
    </w:pPr>
  </w:style>
  <w:style w:type="paragraph" w:customStyle="1" w:styleId="22">
    <w:name w:val="正文缩进1"/>
    <w:basedOn w:val="1"/>
    <w:autoRedefine/>
    <w:qFormat/>
    <w:uiPriority w:val="99"/>
    <w:pPr>
      <w:ind w:firstLine="420"/>
    </w:pPr>
    <w:rPr>
      <w:rFonts w:ascii="Times New Roman" w:hAnsi="Times New Roman"/>
      <w:szCs w:val="24"/>
    </w:rPr>
  </w:style>
  <w:style w:type="character" w:customStyle="1" w:styleId="23">
    <w:name w:val="font71"/>
    <w:basedOn w:val="15"/>
    <w:autoRedefine/>
    <w:qFormat/>
    <w:uiPriority w:val="0"/>
    <w:rPr>
      <w:rFonts w:hint="eastAsia" w:ascii="方正仿宋简体" w:hAnsi="方正仿宋简体" w:eastAsia="方正仿宋简体" w:cs="方正仿宋简体"/>
      <w:b/>
      <w:bCs/>
      <w:color w:val="000000"/>
      <w:sz w:val="20"/>
      <w:szCs w:val="20"/>
      <w:u w:val="none"/>
    </w:rPr>
  </w:style>
  <w:style w:type="paragraph" w:customStyle="1" w:styleId="24">
    <w:name w:val="Table Paragraph"/>
    <w:basedOn w:val="1"/>
    <w:qFormat/>
    <w:uiPriority w:val="1"/>
    <w:rPr>
      <w:rFonts w:ascii="宋体" w:hAnsi="宋体" w:eastAsia="宋体" w:cs="宋体"/>
    </w:rPr>
  </w:style>
  <w:style w:type="paragraph" w:customStyle="1" w:styleId="25">
    <w:name w:val="正文 文本"/>
    <w:qFormat/>
    <w:uiPriority w:val="1"/>
    <w:pPr>
      <w:spacing w:line="560" w:lineRule="exact"/>
      <w:ind w:left="0" w:right="0" w:firstLine="640"/>
      <w:jc w:val="both"/>
    </w:pPr>
    <w:rPr>
      <w:rFonts w:ascii="宋体" w:eastAsia="宋体" w:hAnsiTheme="minorHAnsi" w:cstheme="minorBidi"/>
      <w:sz w:val="32"/>
      <w:szCs w:val="22"/>
    </w:rPr>
  </w:style>
  <w:style w:type="paragraph" w:customStyle="1" w:styleId="26">
    <w:name w:val="列出段落"/>
    <w:basedOn w:val="1"/>
    <w:qFormat/>
    <w:uiPriority w:val="0"/>
    <w:pPr>
      <w:ind w:firstLine="420" w:firstLineChars="200"/>
    </w:pPr>
  </w:style>
  <w:style w:type="paragraph" w:customStyle="1" w:styleId="27">
    <w:name w:val="正文一级标题"/>
    <w:qFormat/>
    <w:uiPriority w:val="1"/>
    <w:pPr>
      <w:spacing w:line="560" w:lineRule="exact"/>
      <w:ind w:left="0" w:right="0" w:firstLine="720"/>
      <w:jc w:val="both"/>
    </w:pPr>
    <w:rPr>
      <w:rFonts w:ascii="黑体" w:eastAsia="黑体" w:hAnsiTheme="minorHAnsi" w:cstheme="minorBidi"/>
      <w:b/>
      <w:sz w:val="36"/>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e88e400e-a5b4-480b-89e7-e84923d55345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1C4E5E70</paraID>
      <start>17</start>
      <end>18</end>
      <status>unmodified</status>
      <modifiedWord/>
      <trackRevisions>false</trackRevisions>
    </reviewItem>
    <reviewItem>
      <errorID>23940d79-3131-4fb8-b5ae-cad20bf1e7c5</errorID>
      <errorWord>：</errorWord>
      <group>L1_Format</group>
      <groupName>格式问题</groupName>
      <ability>L2_HalfPunc_CN</ability>
      <abilityName>全半角问题</abilityName>
      <candidateList>
        <item>:</item>
      </candidateList>
      <explain>文本全半角错误。</explain>
      <paraID>1C4E5E70</paraID>
      <start>30</start>
      <end>31</end>
      <status>modified</status>
      <modifiedWord>:</modifiedWord>
      <trackRevisions>false</trackRevisions>
    </reviewItem>
    <reviewItem>
      <errorID>b58df88c-4e78-4118-bdd2-6bf5e5ff6154</errorID>
      <errorWord>：</errorWord>
      <group>L1_Format</group>
      <groupName>格式问题</groupName>
      <ability>L2_HalfPunc_CN</ability>
      <abilityName>全半角问题</abilityName>
      <candidateList>
        <item>:</item>
      </candidateList>
      <explain>文本全半角错误。</explain>
      <paraID>20AB9308</paraID>
      <start>26</start>
      <end>27</end>
      <status>modified</status>
      <modifiedWord>:</modifiedWord>
      <trackRevisions>false</trackRevisions>
    </reviewItem>
    <reviewItem>
      <errorID>51523ba6-e16b-48c8-8b3d-a165fdfb39e5</errorID>
      <errorWord>：</errorWord>
      <group>L1_Format</group>
      <groupName>格式问题</groupName>
      <ability>L2_HalfPunc_CN</ability>
      <abilityName>全半角问题</abilityName>
      <candidateList>
        <item>:</item>
      </candidateList>
      <explain>文本全半角错误。</explain>
      <paraID>20AB9308</paraID>
      <start>48</start>
      <end>49</end>
      <status>modified</status>
      <modifiedWord>:</modifiedWord>
      <trackRevisions>false</trackRevisions>
    </reviewItem>
    <reviewItem>
      <errorID>98436024-82d2-41e1-8466-ed515de17a00</errorID>
      <errorWord>：</errorWord>
      <group>L1_Format</group>
      <groupName>格式问题</groupName>
      <ability>L2_HalfPunc_CN</ability>
      <abilityName>全半角问题</abilityName>
      <candidateList>
        <item>:</item>
      </candidateList>
      <explain>文本全半角错误。</explain>
      <paraID>42A1ACEA</paraID>
      <start>64</start>
      <end>65</end>
      <status>modified</status>
      <modifiedWord>:</modifiedWord>
      <trackRevisions>false</trackRevisions>
    </reviewItem>
    <reviewItem>
      <errorID>7b532ee8-5428-4367-9dd0-bfa687657d98</errorID>
      <errorWord>法定代表或者</errorWord>
      <group>L1_Word</group>
      <groupName>字词问题</groupName>
      <ability>L2_Typo</ability>
      <abilityName>字词错误</abilityName>
      <candidateList>
        <item>法定代表人或者</item>
      </candidateList>
      <explain/>
      <paraID> 59FE3AB</paraID>
      <start>39</start>
      <end>46</end>
      <status>modified</status>
      <modifiedWord>法定代表人或者</modifiedWord>
      <trackRevisions>false</trackRevisions>
    </reviewItem>
    <reviewItem>
      <errorID>912fba74-bb44-44ca-839e-27c630332c0a</errorID>
      <errorWord>*</errorWord>
      <group>L1_Punc</group>
      <groupName>标点问题</groupName>
      <ability>L2_Punc_CN</ability>
      <abilityName>标点符号问题</abilityName>
      <candidateList/>
      <explain/>
      <paraID>1AC2D488</paraID>
      <start>0</start>
      <end>1</end>
      <status>ignored</status>
      <modifiedWord/>
      <trackRevisions>false</trackRevisions>
    </reviewItem>
    <reviewItem>
      <errorID>67851086-9399-41c6-af67-bad51a06f5fe</errorID>
      <errorWord>,</errorWord>
      <group>L1_Format</group>
      <groupName>格式问题</groupName>
      <ability>L2_HalfPunc_CN</ability>
      <abilityName>全半角问题</abilityName>
      <candidateList>
        <item>，</item>
      </candidateList>
      <explain>文本全半角错误。</explain>
      <paraID>1475A3DE</paraID>
      <start>12</start>
      <end>13</end>
      <status>modified</status>
      <modifiedWord>，</modifiedWord>
      <trackRevisions>false</trackRevisions>
    </reviewItem>
    <reviewItem>
      <errorID>ddf0e547-42cc-4279-a861-0de4e245e034</errorID>
      <errorWord>须</errorWord>
      <group>L1_Word</group>
      <groupName>字词问题</groupName>
      <ability>L2_Typo</ability>
      <abilityName>字词错误</abilityName>
      <candidateList>
        <item>需</item>
      </candidateList>
      <explain>存在发音相同字词的误用。</explain>
      <paraID>4E6E04D8</paraID>
      <start>26</start>
      <end>27</end>
      <status>ignored</status>
      <modifiedWord/>
      <trackRevisions>false</trackRevisions>
    </reviewItem>
    <reviewItem>
      <errorID>a438c98d-3b82-42c8-a638-8efbc47f18ce</errorID>
      <errorWord>所必须的</errorWord>
      <group>L1_Word</group>
      <groupName>字词问题</groupName>
      <ability>L2_Typo</ability>
      <abilityName>字词错误</abilityName>
      <candidateList>
        <item>所必需的</item>
      </candidateList>
      <explain/>
      <paraID>6D8A64A9</paraID>
      <start>9</start>
      <end>13</end>
      <status>ignored</status>
      <modifiedWord/>
      <trackRevisions>false</trackRevisions>
    </reviewItem>
    <reviewItem>
      <errorID>bb18c307-5a2c-4c65-b37e-1d57965483ca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59175FF3</paraID>
      <start>0</start>
      <end>2</end>
      <status>ignored</status>
      <modifiedWord/>
      <trackRevisions>false</trackRevisions>
    </reviewItem>
    <reviewItem>
      <errorID>f70cf851-267b-4266-af00-7a2a3c98a393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253CC6A8</paraID>
      <start>0</start>
      <end>2</end>
      <status>ignored</status>
      <modifiedWord/>
      <trackRevisions>false</trackRevisions>
    </reviewItem>
    <reviewItem>
      <errorID>587ecb29-cc1b-4bb0-8b98-b06d2e8be561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6639ED30</paraID>
      <start>0</start>
      <end>2</end>
      <status>ignored</status>
      <modifiedWord/>
      <trackRevisions>false</trackRevisions>
    </reviewItem>
    <reviewItem>
      <errorID>caf39ee0-46a4-442e-97d7-3998917ba834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754CE7D9</paraID>
      <start>0</start>
      <end>2</end>
      <status>ignored</status>
      <modifiedWord/>
      <trackRevisions>false</trackRevisions>
    </reviewItem>
    <reviewItem>
      <errorID>5b175b40-1d90-4a46-b32b-d7e17bfbba06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5CAB1741</paraID>
      <start>0</start>
      <end>2</end>
      <status>ignored</status>
      <modifiedWord/>
      <trackRevisions>false</trackRevisions>
    </reviewItem>
    <reviewItem>
      <errorID>1d839fa2-5a4c-4574-b903-8d0e27127e57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15958979</paraID>
      <start>0</start>
      <end>2</end>
      <status>ignored</status>
      <modifiedWord/>
      <trackRevisions>false</trackRevisions>
    </reviewItem>
    <reviewItem>
      <errorID>eef161f3-f1d9-4fc6-83e7-667a0d823a13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4F721782</paraID>
      <start>0</start>
      <end>2</end>
      <status>ignored</status>
      <modifiedWord/>
      <trackRevisions>false</trackRevisions>
    </reviewItem>
    <reviewItem>
      <errorID>61dad780-eae4-41e2-860e-bb9e3d6ebdfe</errorID>
      <errorWord>通知供</errorWord>
      <group>L1_Word</group>
      <groupName>字词问题</groupName>
      <ability>L2_Typo</ability>
      <abilityName>字词错误</abilityName>
      <candidateList>
        <item>通知</item>
      </candidateList>
      <explain>❶〈动〉把事项告诉人知道：你回去～大家，明天就动工｜你走以前～我一声。❷〈名〉通知事项的文书或口信：把～发出去｜口头～。</explain>
      <paraID>4F721782</paraID>
      <start>35</start>
      <end>38</end>
      <status>ignored</status>
      <modifiedWord/>
      <trackRevisions>false</trackRevisions>
    </reviewItem>
    <reviewItem>
      <errorID>3e3da6bf-28bb-48e2-87a7-2bc7f8d0c881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7BCDD9F3</paraID>
      <start>0</start>
      <end>2</end>
      <status>ignored</status>
      <modifiedWord/>
      <trackRevisions>false</trackRevisions>
    </reviewItem>
    <reviewItem>
      <errorID>d1cda615-3c95-4d93-98f3-3f2ce15a684e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21857B30</paraID>
      <start>0</start>
      <end>2</end>
      <status>ignored</status>
      <modifiedWord/>
      <trackRevisions>false</trackRevisions>
    </reviewItem>
    <reviewItem>
      <errorID>9e47bc30-7dbd-426d-9cbb-1213b5dbc929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7E75D8B6</paraID>
      <start>0</start>
      <end>2</end>
      <status>unmodified</status>
      <modifiedWord/>
      <trackRevisions>false</trackRevisions>
    </reviewItem>
    <reviewItem>
      <errorID>8bd5028e-a210-4655-9875-95b39b25affa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443ED0F4</paraID>
      <start>0</start>
      <end>2</end>
      <status>ignored</status>
      <modifiedWord/>
      <trackRevisions>false</trackRevisions>
    </reviewItem>
    <reviewItem>
      <errorID>2dea4755-f5e7-466c-a2b3-5bb008c34964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7AD2FAA6</paraID>
      <start>0</start>
      <end>2</end>
      <status>ignored</status>
      <modifiedWord/>
      <trackRevisions>false</trackRevisions>
    </reviewItem>
    <reviewItem>
      <errorID>92193f2a-bbef-42c4-8943-2b81b28a284a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5126CF7</paraID>
      <start>0</start>
      <end>2</end>
      <status>ignored</status>
      <modifiedWord/>
      <trackRevisions>false</trackRevisions>
    </reviewItem>
    <reviewItem>
      <errorID>2b4a5718-23b9-4597-9e6e-41604f35a5fa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72DA6311</paraID>
      <start>0</start>
      <end>2</end>
      <status>ignored</status>
      <modifiedWord/>
      <trackRevisions>false</trackRevisions>
    </reviewItem>
    <reviewItem>
      <errorID>2b466c5c-427b-4106-b657-7de8cc57b282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67F521DB</paraID>
      <start>0</start>
      <end>2</end>
      <status>ignored</status>
      <modifiedWord/>
      <trackRevisions>false</trackRevisions>
    </reviewItem>
    <reviewItem>
      <errorID>235f6d9b-e364-4287-a95c-254f2499d7f1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76166C94</paraID>
      <start>0</start>
      <end>2</end>
      <status>ignored</status>
      <modifiedWord/>
      <trackRevisions>false</trackRevisions>
    </reviewItem>
    <reviewItem>
      <errorID>f467f9db-e2a8-467a-ae7d-fc3c82fc6a27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72AD71A3</paraID>
      <start>0</start>
      <end>2</end>
      <status>ignored</status>
      <modifiedWord/>
      <trackRevisions>false</trackRevisions>
    </reviewItem>
    <reviewItem>
      <errorID>e3cb88c9-bf8a-4078-8021-38a781ac1477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679DAACE</paraID>
      <start>0</start>
      <end>2</end>
      <status>ignored</status>
      <modifiedWord/>
      <trackRevisions>false</trackRevisions>
    </reviewItem>
    <reviewItem>
      <errorID>240108da-0147-46e1-b2aa-f306cc332b13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133B66E7</paraID>
      <start>11</start>
      <end>12</end>
      <status>ignored</status>
      <modifiedWord/>
      <trackRevisions>false</trackRevisions>
    </reviewItem>
    <reviewItem>
      <errorID>a2cd5985-5647-46c0-9117-7fa75109cd78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41591E80</paraID>
      <start>12</start>
      <end>13</end>
      <status>ignored</status>
      <modifiedWord/>
      <trackRevisions>false</trackRevisions>
    </reviewItem>
    <reviewItem>
      <errorID>3b584cad-1fb3-46a8-bea2-aa3da21d230b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3CA7618D</paraID>
      <start>12</start>
      <end>13</end>
      <status>ignored</status>
      <modifiedWord/>
      <trackRevisions>false</trackRevisions>
    </reviewItem>
    <reviewItem>
      <errorID>c753dedf-69d8-4ca2-b03e-91c976c21246</errorID>
      <errorWord>质量的</errorWord>
      <group>L1_Word</group>
      <groupName>字词问题</groupName>
      <ability>L2_Typo</ability>
      <abilityName>字词错误</abilityName>
      <candidateList>
        <item>质量</item>
      </candidateList>
      <explain>〈名〉❶表示物体惯性大小的物理量。数值上等于物体所受外力和它获得的加速度的比值。有时也指物体中所含物质的量。质量是常量，不因高度或纬度变化而改变。❷产品或工作的优劣程度：工程～｜教学～｜这布～好，又好看，又耐穿。</explain>
      <paraID>76AEB8CE</paraID>
      <start>9</start>
      <end>11</end>
      <status>modified</status>
      <modifiedWord>质量</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ca9556-90f7-4f3d-8b31-c9739a0c4d62}">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444</Words>
  <Characters>467</Characters>
  <Lines>0</Lines>
  <Paragraphs>0</Paragraphs>
  <TotalTime>0</TotalTime>
  <ScaleCrop>false</ScaleCrop>
  <LinksUpToDate>false</LinksUpToDate>
  <CharactersWithSpaces>467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2023-05-12T03:41:00Z</dcterms:created>
  <dc:creator>Y.</dc:creator>
  <cp:lastModifiedBy>傀儡</cp:lastModifiedBy>
  <cp:lastPrinted>2024-07-18T01:25:00Z</cp:lastPrinted>
  <dcterms:modified xsi:type="dcterms:W3CDTF">2026-10-23T03:37:06Z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C02B38D5D3084378AB6B099C54C54996_13</vt:lpwstr>
  </property>
  <property fmtid="{D5CDD505-2E9C-101B-9397-08002B2CF9AE}" pid="4" name="KSOTemplateDocerSaveRecord">
    <vt:lpwstr>eyJoZGlkIjoiYzgzMzM3MDdmNDQ2M2UwMDc3MzA0YzY0OWUwMGE0MzYiLCJ1c2VySWQiOiI1MTg2MTYyNjkifQ==</vt:lpwstr>
  </property>
</Properties>
</file>