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164FC">
      <w:pPr>
        <w:keepNext w:val="0"/>
        <w:keepLines w:val="0"/>
        <w:pageBreakBefore w:val="0"/>
        <w:kinsoku/>
        <w:wordWrap/>
        <w:overflowPunct/>
        <w:topLinePunct w:val="0"/>
        <w:autoSpaceDE/>
        <w:autoSpaceDN/>
        <w:bidi w:val="0"/>
        <w:adjustRightInd/>
        <w:spacing w:line="580" w:lineRule="exact"/>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附件2</w:t>
      </w:r>
    </w:p>
    <w:p w14:paraId="71612789">
      <w:pPr>
        <w:keepNext w:val="0"/>
        <w:keepLines w:val="0"/>
        <w:pageBreakBefore w:val="0"/>
        <w:kinsoku/>
        <w:wordWrap/>
        <w:overflowPunct/>
        <w:topLinePunct w:val="0"/>
        <w:autoSpaceDE/>
        <w:autoSpaceDN/>
        <w:bidi w:val="0"/>
        <w:adjustRightInd/>
        <w:spacing w:line="580" w:lineRule="exact"/>
        <w:jc w:val="right"/>
        <w:rPr>
          <w:rFonts w:hint="default" w:ascii="Times New Roman" w:hAnsi="Times New Roman" w:eastAsia="仿宋" w:cs="Times New Roman"/>
          <w:b/>
          <w:sz w:val="52"/>
          <w:szCs w:val="52"/>
          <w:lang w:val="en-US" w:eastAsia="zh-CN"/>
        </w:rPr>
      </w:pPr>
      <w:r>
        <w:rPr>
          <w:rFonts w:hint="default" w:ascii="Times New Roman" w:hAnsi="Times New Roman" w:eastAsia="方正仿宋简体" w:cs="Times New Roman"/>
          <w:b w:val="0"/>
          <w:bCs/>
          <w:sz w:val="28"/>
          <w:szCs w:val="28"/>
        </w:rPr>
        <w:t>合同编号：</w:t>
      </w:r>
      <w:r>
        <w:rPr>
          <w:rFonts w:hint="default" w:ascii="Times New Roman" w:hAnsi="Times New Roman" w:eastAsia="方正仿宋简体" w:cs="Times New Roman"/>
          <w:b w:val="0"/>
          <w:bCs/>
          <w:sz w:val="28"/>
          <w:szCs w:val="28"/>
          <w:lang w:val="en-US" w:eastAsia="zh-CN"/>
        </w:rPr>
        <w:t>YHWL-CGHT</w:t>
      </w:r>
      <w:r>
        <w:rPr>
          <w:rFonts w:hint="eastAsia" w:eastAsia="方正仿宋简体" w:cs="Times New Roman"/>
          <w:b w:val="0"/>
          <w:bCs/>
          <w:sz w:val="28"/>
          <w:szCs w:val="28"/>
          <w:lang w:val="en-US" w:eastAsia="zh-CN"/>
        </w:rPr>
        <w:t>XX</w:t>
      </w:r>
    </w:p>
    <w:p w14:paraId="1A85875F">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B694752">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4CD2D06">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079A96E">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广汉市弘诚金雁宾馆有限责任公司</w:t>
      </w:r>
    </w:p>
    <w:p w14:paraId="51A25E09">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关于金雁宾馆手推式洗地机、立式广告机及推拉式雨棚采购合同</w:t>
      </w:r>
    </w:p>
    <w:p w14:paraId="2918E2AE">
      <w:pPr>
        <w:keepNext w:val="0"/>
        <w:keepLines w:val="0"/>
        <w:pageBreakBefore w:val="0"/>
        <w:kinsoku/>
        <w:wordWrap/>
        <w:overflowPunct/>
        <w:topLinePunct w:val="0"/>
        <w:autoSpaceDE/>
        <w:autoSpaceDN/>
        <w:bidi w:val="0"/>
        <w:adjustRightInd/>
        <w:spacing w:line="580" w:lineRule="exact"/>
        <w:jc w:val="both"/>
        <w:rPr>
          <w:rFonts w:hint="eastAsia" w:ascii="方正小标宋简体" w:hAnsi="方正小标宋简体" w:eastAsia="方正小标宋简体" w:cs="方正小标宋简体"/>
          <w:b/>
          <w:sz w:val="36"/>
          <w:szCs w:val="36"/>
        </w:rPr>
      </w:pPr>
    </w:p>
    <w:p w14:paraId="0BC8257C">
      <w:pPr>
        <w:keepNext w:val="0"/>
        <w:keepLines w:val="0"/>
        <w:pageBreakBefore w:val="0"/>
        <w:kinsoku/>
        <w:wordWrap/>
        <w:overflowPunct/>
        <w:topLinePunct w:val="0"/>
        <w:autoSpaceDE/>
        <w:autoSpaceDN/>
        <w:bidi w:val="0"/>
        <w:adjustRightInd/>
        <w:snapToGrid w:val="0"/>
        <w:spacing w:line="580" w:lineRule="exact"/>
        <w:contextualSpacing/>
        <w:jc w:val="both"/>
        <w:rPr>
          <w:rFonts w:hint="eastAsia" w:ascii="方正小标宋简体" w:hAnsi="方正小标宋简体" w:eastAsia="方正小标宋简体" w:cs="方正小标宋简体"/>
          <w:sz w:val="44"/>
          <w:szCs w:val="44"/>
          <w:lang w:val="en-US" w:eastAsia="zh-CN"/>
        </w:rPr>
      </w:pPr>
    </w:p>
    <w:p w14:paraId="690E77FF">
      <w:pPr>
        <w:pStyle w:val="6"/>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小标宋简体" w:cs="Times New Roman"/>
          <w:sz w:val="44"/>
          <w:szCs w:val="44"/>
          <w:lang w:val="en-US" w:eastAsia="zh-CN"/>
        </w:rPr>
      </w:pPr>
    </w:p>
    <w:p w14:paraId="72D0B129">
      <w:pPr>
        <w:rPr>
          <w:rFonts w:hint="default" w:ascii="Times New Roman" w:hAnsi="Times New Roman" w:eastAsia="方正小标宋简体" w:cs="Times New Roman"/>
          <w:sz w:val="44"/>
          <w:szCs w:val="44"/>
          <w:lang w:val="en-US" w:eastAsia="zh-CN"/>
        </w:rPr>
      </w:pPr>
    </w:p>
    <w:p w14:paraId="728061B2">
      <w:pPr>
        <w:rPr>
          <w:rFonts w:hint="default" w:ascii="Times New Roman" w:hAnsi="Times New Roman" w:eastAsia="方正小标宋简体" w:cs="Times New Roman"/>
          <w:sz w:val="44"/>
          <w:szCs w:val="44"/>
          <w:lang w:val="en-US" w:eastAsia="zh-CN"/>
        </w:rPr>
      </w:pPr>
    </w:p>
    <w:p w14:paraId="47F2813E">
      <w:pPr>
        <w:rPr>
          <w:rFonts w:hint="default" w:ascii="Times New Roman" w:hAnsi="Times New Roman" w:eastAsia="方正小标宋简体" w:cs="Times New Roman"/>
          <w:sz w:val="44"/>
          <w:szCs w:val="44"/>
          <w:lang w:val="en-US" w:eastAsia="zh-CN"/>
        </w:rPr>
      </w:pPr>
    </w:p>
    <w:p w14:paraId="1A65A926">
      <w:pPr>
        <w:rPr>
          <w:rFonts w:hint="default" w:ascii="Times New Roman" w:hAnsi="Times New Roman" w:eastAsia="方正小标宋简体" w:cs="Times New Roman"/>
          <w:sz w:val="44"/>
          <w:szCs w:val="44"/>
          <w:lang w:val="en-US" w:eastAsia="zh-CN"/>
        </w:rPr>
      </w:pPr>
    </w:p>
    <w:p w14:paraId="2DD77244">
      <w:pPr>
        <w:pStyle w:val="6"/>
        <w:keepNext w:val="0"/>
        <w:keepLines w:val="0"/>
        <w:pageBreakBefore w:val="0"/>
        <w:kinsoku/>
        <w:wordWrap/>
        <w:overflowPunct/>
        <w:topLinePunct w:val="0"/>
        <w:autoSpaceDE/>
        <w:autoSpaceDN/>
        <w:bidi w:val="0"/>
        <w:adjustRightInd/>
        <w:spacing w:line="580" w:lineRule="exact"/>
        <w:ind w:left="0" w:leftChars="0" w:firstLine="0" w:firstLineChars="0"/>
        <w:rPr>
          <w:rFonts w:hint="default" w:ascii="Times New Roman" w:hAnsi="Times New Roman" w:eastAsia="方正小标宋简体" w:cs="Times New Roman"/>
          <w:sz w:val="44"/>
          <w:szCs w:val="44"/>
          <w:lang w:val="en-US" w:eastAsia="zh-CN"/>
        </w:rPr>
      </w:pPr>
    </w:p>
    <w:p w14:paraId="42B34B0F">
      <w:pPr>
        <w:keepNext w:val="0"/>
        <w:keepLines w:val="0"/>
        <w:pageBreakBefore w:val="0"/>
        <w:kinsoku/>
        <w:wordWrap/>
        <w:overflowPunct/>
        <w:topLinePunct w:val="0"/>
        <w:autoSpaceDE/>
        <w:autoSpaceDN/>
        <w:bidi w:val="0"/>
        <w:adjustRightInd/>
        <w:snapToGrid w:val="0"/>
        <w:spacing w:line="580" w:lineRule="exact"/>
        <w:contextualSpacing/>
        <w:rPr>
          <w:rFonts w:hint="default" w:ascii="Times New Roman" w:hAnsi="Times New Roman" w:eastAsia="方正仿宋简体" w:cs="Times New Roman"/>
          <w:sz w:val="32"/>
          <w:szCs w:val="32"/>
          <w:u w:val="single"/>
        </w:rPr>
      </w:pPr>
      <w:r>
        <w:rPr>
          <w:rFonts w:hint="default" w:ascii="Times New Roman" w:hAnsi="Times New Roman" w:eastAsia="方正仿宋简体" w:cs="Times New Roman"/>
          <w:sz w:val="32"/>
          <w:szCs w:val="32"/>
          <w:lang w:val="en-US" w:eastAsia="zh-CN"/>
        </w:rPr>
        <w:t>甲</w:t>
      </w:r>
      <w:r>
        <w:rPr>
          <w:rFonts w:hint="default" w:ascii="Times New Roman" w:hAnsi="Times New Roman" w:eastAsia="方正仿宋简体" w:cs="Times New Roman"/>
          <w:sz w:val="32"/>
          <w:szCs w:val="32"/>
        </w:rPr>
        <w:t xml:space="preserve"> 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买方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u w:val="single"/>
        </w:rPr>
        <w:t xml:space="preserve"> </w:t>
      </w:r>
      <w:r>
        <w:rPr>
          <w:rFonts w:hint="eastAsia" w:eastAsia="方正仿宋简体" w:cs="Times New Roman"/>
          <w:sz w:val="32"/>
          <w:szCs w:val="32"/>
          <w:u w:val="single"/>
          <w:lang w:val="en-US" w:eastAsia="zh-CN"/>
        </w:rPr>
        <w:t>广汉市弘诚金雁宾馆有限责任公司</w:t>
      </w:r>
      <w:r>
        <w:rPr>
          <w:rFonts w:hint="default" w:ascii="Times New Roman" w:hAnsi="Times New Roman" w:eastAsia="方正仿宋简体" w:cs="Times New Roman"/>
          <w:sz w:val="32"/>
          <w:szCs w:val="32"/>
          <w:u w:val="single"/>
        </w:rPr>
        <w:t xml:space="preserve">    </w:t>
      </w:r>
    </w:p>
    <w:p w14:paraId="17885545">
      <w:pPr>
        <w:pStyle w:val="2"/>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乙</w:t>
      </w:r>
      <w:r>
        <w:rPr>
          <w:rFonts w:hint="default" w:ascii="Times New Roman" w:hAnsi="Times New Roman" w:eastAsia="方正仿宋简体" w:cs="Times New Roman"/>
          <w:color w:val="auto"/>
          <w:sz w:val="32"/>
          <w:szCs w:val="32"/>
        </w:rPr>
        <w:t xml:space="preserve"> 方</w:t>
      </w:r>
      <w:r>
        <w:rPr>
          <w:rFonts w:hint="default" w:ascii="Times New Roman" w:hAnsi="Times New Roman" w:eastAsia="方正仿宋简体" w:cs="Times New Roman"/>
          <w:color w:val="auto"/>
          <w:sz w:val="32"/>
          <w:szCs w:val="32"/>
          <w:lang w:eastAsia="zh-CN"/>
        </w:rPr>
        <w:t>（</w:t>
      </w:r>
      <w:r>
        <w:rPr>
          <w:rFonts w:hint="eastAsia" w:eastAsia="方正仿宋简体" w:cs="Times New Roman"/>
          <w:color w:val="auto"/>
          <w:sz w:val="32"/>
          <w:szCs w:val="32"/>
          <w:lang w:val="en-US" w:eastAsia="zh-CN"/>
        </w:rPr>
        <w:t>服务</w:t>
      </w:r>
      <w:r>
        <w:rPr>
          <w:rFonts w:hint="default" w:ascii="Times New Roman" w:hAnsi="Times New Roman" w:eastAsia="方正仿宋简体" w:cs="Times New Roman"/>
          <w:color w:val="auto"/>
          <w:sz w:val="32"/>
          <w:szCs w:val="32"/>
          <w:lang w:val="en-US" w:eastAsia="zh-CN"/>
        </w:rPr>
        <w:t>方</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kern w:val="2"/>
          <w:sz w:val="32"/>
          <w:szCs w:val="32"/>
          <w:u w:val="single"/>
          <w:lang w:val="en-US" w:eastAsia="zh-CN" w:bidi="ar-SA"/>
        </w:rPr>
        <w:t xml:space="preserve">                             </w:t>
      </w:r>
    </w:p>
    <w:p w14:paraId="0A3EAD6A">
      <w:pPr>
        <w:pStyle w:val="6"/>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cs="Times New Roman"/>
          <w:color w:val="auto"/>
          <w:lang w:val="en-US" w:eastAsia="zh-CN"/>
        </w:rPr>
        <w:sectPr>
          <w:headerReference r:id="rId3" w:type="default"/>
          <w:footerReference r:id="rId4" w:type="default"/>
          <w:footerReference r:id="rId5" w:type="even"/>
          <w:pgSz w:w="11900" w:h="16840"/>
          <w:pgMar w:top="2098" w:right="1531" w:bottom="1587" w:left="1531" w:header="851" w:footer="992" w:gutter="0"/>
          <w:pgNumType w:fmt="decimal" w:start="1"/>
          <w:cols w:space="720" w:num="1"/>
          <w:docGrid w:type="lines" w:linePitch="423" w:charSpace="0"/>
        </w:sectPr>
      </w:pPr>
    </w:p>
    <w:p w14:paraId="47C08ED3">
      <w:pPr>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依据《中华人民共和国</w:t>
      </w:r>
      <w:r>
        <w:rPr>
          <w:rFonts w:hint="default" w:ascii="Times New Roman" w:hAnsi="Times New Roman" w:eastAsia="方正仿宋简体" w:cs="Times New Roman"/>
          <w:sz w:val="32"/>
          <w:szCs w:val="32"/>
          <w:lang w:val="en-US" w:eastAsia="zh-CN"/>
        </w:rPr>
        <w:t>民</w:t>
      </w:r>
      <w:r>
        <w:rPr>
          <w:rFonts w:hint="default" w:ascii="Times New Roman" w:hAnsi="Times New Roman" w:eastAsia="方正仿宋简体" w:cs="Times New Roman"/>
          <w:sz w:val="32"/>
          <w:szCs w:val="32"/>
        </w:rPr>
        <w:t>法</w:t>
      </w:r>
      <w:r>
        <w:rPr>
          <w:rFonts w:hint="default" w:ascii="Times New Roman" w:hAnsi="Times New Roman" w:eastAsia="方正仿宋简体" w:cs="Times New Roman"/>
          <w:sz w:val="32"/>
          <w:szCs w:val="32"/>
          <w:lang w:val="en-US" w:eastAsia="zh-CN"/>
        </w:rPr>
        <w:t>典</w:t>
      </w:r>
      <w:r>
        <w:rPr>
          <w:rFonts w:hint="default" w:ascii="Times New Roman" w:hAnsi="Times New Roman" w:eastAsia="方正仿宋简体" w:cs="Times New Roman"/>
          <w:sz w:val="32"/>
          <w:szCs w:val="32"/>
        </w:rPr>
        <w:t>》及相关法律法规的规定，</w:t>
      </w:r>
      <w:r>
        <w:rPr>
          <w:rFonts w:hint="default" w:ascii="Times New Roman" w:hAnsi="Times New Roman" w:eastAsia="方正仿宋简体" w:cs="Times New Roman"/>
          <w:sz w:val="32"/>
          <w:szCs w:val="32"/>
          <w:lang w:val="en-US" w:eastAsia="zh-CN"/>
        </w:rPr>
        <w:t>甲乙</w:t>
      </w:r>
      <w:r>
        <w:rPr>
          <w:rFonts w:hint="default" w:ascii="Times New Roman" w:hAnsi="Times New Roman" w:eastAsia="方正仿宋简体" w:cs="Times New Roman"/>
          <w:sz w:val="32"/>
          <w:szCs w:val="32"/>
        </w:rPr>
        <w:t>双方在平等、互利的基础上，经充分协商，一致同意就以下条款订立本合同，共同信守执行。</w:t>
      </w:r>
    </w:p>
    <w:p w14:paraId="2AD72D60">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简体" w:cs="Times New Roman"/>
          <w:sz w:val="32"/>
          <w:szCs w:val="32"/>
          <w:shd w:val="clear" w:color="auto" w:fill="FFFFFF"/>
          <w:lang w:val="en-US"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合同内容</w:t>
      </w:r>
    </w:p>
    <w:p w14:paraId="4116B27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eastAsia="方正仿宋简体" w:cs="Times New Roman"/>
          <w:sz w:val="32"/>
          <w:szCs w:val="32"/>
          <w:lang w:val="en-US" w:eastAsia="zh-CN"/>
        </w:rPr>
      </w:pPr>
      <w:r>
        <w:rPr>
          <w:rFonts w:hint="eastAsia" w:eastAsia="方正仿宋简体" w:cs="Times New Roman"/>
          <w:sz w:val="32"/>
          <w:szCs w:val="32"/>
          <w:shd w:val="clear" w:color="auto" w:fill="FFFFFF"/>
          <w:lang w:val="en-US" w:eastAsia="zh-CN"/>
        </w:rPr>
        <w:t>（一）</w:t>
      </w:r>
      <w:r>
        <w:rPr>
          <w:rFonts w:hint="eastAsia" w:eastAsia="方正仿宋简体" w:cs="Times New Roman"/>
          <w:sz w:val="32"/>
          <w:szCs w:val="32"/>
          <w:lang w:val="en-US" w:eastAsia="zh-CN"/>
        </w:rPr>
        <w:t>采购内容：</w:t>
      </w:r>
    </w:p>
    <w:tbl>
      <w:tblPr>
        <w:tblStyle w:val="7"/>
        <w:tblW w:w="893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0"/>
        <w:gridCol w:w="1440"/>
        <w:gridCol w:w="1185"/>
        <w:gridCol w:w="705"/>
        <w:gridCol w:w="972"/>
        <w:gridCol w:w="813"/>
        <w:gridCol w:w="825"/>
        <w:gridCol w:w="1231"/>
        <w:gridCol w:w="932"/>
      </w:tblGrid>
      <w:tr w14:paraId="06DBD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830" w:type="dxa"/>
            <w:tcBorders>
              <w:top w:val="single" w:color="auto" w:sz="4" w:space="0"/>
              <w:left w:val="single" w:color="auto" w:sz="4" w:space="0"/>
              <w:right w:val="single" w:color="auto" w:sz="4" w:space="0"/>
            </w:tcBorders>
            <w:noWrap w:val="0"/>
            <w:vAlign w:val="center"/>
          </w:tcPr>
          <w:p w14:paraId="4070BC77">
            <w:pPr>
              <w:spacing w:line="360" w:lineRule="auto"/>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序号</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F31A9F6">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货物品名</w:t>
            </w:r>
          </w:p>
        </w:tc>
        <w:tc>
          <w:tcPr>
            <w:tcW w:w="1185" w:type="dxa"/>
            <w:tcBorders>
              <w:top w:val="single" w:color="auto" w:sz="4" w:space="0"/>
              <w:left w:val="single" w:color="auto" w:sz="4" w:space="0"/>
              <w:right w:val="single" w:color="auto" w:sz="4" w:space="0"/>
            </w:tcBorders>
            <w:noWrap w:val="0"/>
            <w:vAlign w:val="center"/>
          </w:tcPr>
          <w:p w14:paraId="10260DF3">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规格型号</w:t>
            </w:r>
          </w:p>
        </w:tc>
        <w:tc>
          <w:tcPr>
            <w:tcW w:w="705" w:type="dxa"/>
            <w:tcBorders>
              <w:top w:val="single" w:color="auto" w:sz="4" w:space="0"/>
              <w:left w:val="single" w:color="auto" w:sz="4" w:space="0"/>
              <w:right w:val="single" w:color="auto" w:sz="4" w:space="0"/>
            </w:tcBorders>
            <w:noWrap w:val="0"/>
            <w:vAlign w:val="center"/>
          </w:tcPr>
          <w:p w14:paraId="40AAEF18">
            <w:pPr>
              <w:spacing w:line="360" w:lineRule="auto"/>
              <w:rPr>
                <w:rFonts w:hint="eastAsia" w:ascii="宋体" w:hAnsi="宋体" w:eastAsia="宋体" w:cs="宋体"/>
                <w:color w:val="000000"/>
                <w:szCs w:val="21"/>
              </w:rPr>
            </w:pPr>
            <w:r>
              <w:rPr>
                <w:rFonts w:hint="eastAsia" w:ascii="宋体" w:hAnsi="宋体" w:eastAsia="宋体" w:cs="宋体"/>
                <w:color w:val="000000"/>
                <w:szCs w:val="21"/>
              </w:rPr>
              <w:t>数量</w:t>
            </w:r>
          </w:p>
        </w:tc>
        <w:tc>
          <w:tcPr>
            <w:tcW w:w="972" w:type="dxa"/>
            <w:tcBorders>
              <w:top w:val="single" w:color="auto" w:sz="4" w:space="0"/>
              <w:left w:val="single" w:color="auto" w:sz="4" w:space="0"/>
              <w:right w:val="single" w:color="auto" w:sz="4" w:space="0"/>
            </w:tcBorders>
            <w:noWrap w:val="0"/>
            <w:vAlign w:val="center"/>
          </w:tcPr>
          <w:p w14:paraId="0E7DB77C">
            <w:pPr>
              <w:spacing w:line="360" w:lineRule="auto"/>
              <w:ind w:firstLine="120" w:firstLineChars="50"/>
              <w:rPr>
                <w:rFonts w:hint="eastAsia" w:ascii="宋体" w:hAnsi="宋体" w:eastAsia="宋体" w:cs="宋体"/>
                <w:color w:val="000000"/>
                <w:szCs w:val="21"/>
              </w:rPr>
            </w:pPr>
            <w:r>
              <w:rPr>
                <w:rFonts w:hint="eastAsia" w:ascii="宋体" w:hAnsi="宋体" w:eastAsia="宋体" w:cs="宋体"/>
                <w:color w:val="000000"/>
                <w:szCs w:val="21"/>
              </w:rPr>
              <w:t>单位</w:t>
            </w:r>
          </w:p>
        </w:tc>
        <w:tc>
          <w:tcPr>
            <w:tcW w:w="813" w:type="dxa"/>
            <w:tcBorders>
              <w:top w:val="single" w:color="auto" w:sz="4" w:space="0"/>
              <w:left w:val="single" w:color="auto" w:sz="4" w:space="0"/>
              <w:right w:val="single" w:color="auto" w:sz="4" w:space="0"/>
            </w:tcBorders>
            <w:noWrap w:val="0"/>
            <w:vAlign w:val="center"/>
          </w:tcPr>
          <w:p w14:paraId="706082D2">
            <w:pPr>
              <w:spacing w:line="360" w:lineRule="auto"/>
              <w:jc w:val="both"/>
              <w:rPr>
                <w:rFonts w:hint="eastAsia" w:ascii="宋体" w:hAnsi="宋体" w:eastAsia="宋体" w:cs="宋体"/>
                <w:color w:val="000000"/>
                <w:szCs w:val="21"/>
              </w:rPr>
            </w:pPr>
            <w:r>
              <w:rPr>
                <w:rFonts w:hint="eastAsia" w:ascii="宋体" w:hAnsi="宋体" w:eastAsia="宋体" w:cs="宋体"/>
                <w:color w:val="000000"/>
                <w:szCs w:val="21"/>
              </w:rPr>
              <w:t>单价</w:t>
            </w:r>
          </w:p>
        </w:tc>
        <w:tc>
          <w:tcPr>
            <w:tcW w:w="825" w:type="dxa"/>
            <w:tcBorders>
              <w:top w:val="single" w:color="auto" w:sz="4" w:space="0"/>
              <w:left w:val="single" w:color="auto" w:sz="4" w:space="0"/>
              <w:right w:val="single" w:color="auto" w:sz="4" w:space="0"/>
            </w:tcBorders>
            <w:noWrap w:val="0"/>
            <w:vAlign w:val="center"/>
          </w:tcPr>
          <w:p w14:paraId="6A88F769">
            <w:pPr>
              <w:spacing w:line="360" w:lineRule="auto"/>
              <w:ind w:leftChars="-1" w:right="-101" w:rightChars="-42" w:hanging="2" w:hangingChars="1"/>
              <w:jc w:val="center"/>
              <w:rPr>
                <w:rFonts w:hint="eastAsia" w:ascii="宋体" w:hAnsi="宋体" w:eastAsia="宋体" w:cs="宋体"/>
                <w:color w:val="000000"/>
                <w:szCs w:val="21"/>
              </w:rPr>
            </w:pPr>
            <w:r>
              <w:rPr>
                <w:rFonts w:hint="eastAsia" w:ascii="宋体" w:hAnsi="宋体" w:eastAsia="宋体" w:cs="宋体"/>
                <w:color w:val="000000"/>
                <w:szCs w:val="21"/>
              </w:rPr>
              <w:t>总价</w:t>
            </w:r>
          </w:p>
        </w:tc>
        <w:tc>
          <w:tcPr>
            <w:tcW w:w="1231" w:type="dxa"/>
            <w:tcBorders>
              <w:top w:val="single" w:color="auto" w:sz="4" w:space="0"/>
              <w:left w:val="single" w:color="auto" w:sz="4" w:space="0"/>
              <w:right w:val="single" w:color="auto" w:sz="4" w:space="0"/>
            </w:tcBorders>
            <w:noWrap w:val="0"/>
            <w:vAlign w:val="center"/>
          </w:tcPr>
          <w:p w14:paraId="517082E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随机配件</w:t>
            </w:r>
          </w:p>
        </w:tc>
        <w:tc>
          <w:tcPr>
            <w:tcW w:w="932" w:type="dxa"/>
            <w:tcBorders>
              <w:top w:val="single" w:color="auto" w:sz="4" w:space="0"/>
              <w:left w:val="single" w:color="auto" w:sz="4" w:space="0"/>
              <w:right w:val="single" w:color="auto" w:sz="4" w:space="0"/>
            </w:tcBorders>
            <w:noWrap w:val="0"/>
            <w:vAlign w:val="center"/>
          </w:tcPr>
          <w:p w14:paraId="562A2AB7">
            <w:pPr>
              <w:spacing w:line="360" w:lineRule="auto"/>
              <w:ind w:leftChars="-22" w:hanging="52" w:hangingChars="22"/>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备注</w:t>
            </w:r>
          </w:p>
        </w:tc>
      </w:tr>
      <w:tr w14:paraId="427F2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830" w:type="dxa"/>
            <w:tcBorders>
              <w:top w:val="single" w:color="auto" w:sz="4" w:space="0"/>
              <w:left w:val="single" w:color="auto" w:sz="4" w:space="0"/>
              <w:bottom w:val="single" w:color="auto" w:sz="4" w:space="0"/>
              <w:right w:val="single" w:color="auto" w:sz="4" w:space="0"/>
            </w:tcBorders>
            <w:noWrap w:val="0"/>
            <w:vAlign w:val="center"/>
          </w:tcPr>
          <w:p w14:paraId="4D346C82">
            <w:pPr>
              <w:spacing w:line="360" w:lineRule="auto"/>
              <w:jc w:val="center"/>
              <w:rPr>
                <w:rFonts w:hint="eastAsia" w:ascii="宋体" w:hAnsi="宋体" w:eastAsia="宋体" w:cs="宋体"/>
                <w:color w:val="000000"/>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9A518BB">
            <w:pPr>
              <w:spacing w:line="360" w:lineRule="auto"/>
              <w:jc w:val="center"/>
              <w:rPr>
                <w:rFonts w:hint="eastAsia" w:ascii="宋体" w:hAnsi="宋体" w:eastAsia="宋体" w:cs="宋体"/>
                <w:color w:val="000000"/>
                <w:sz w:val="24"/>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57B290E">
            <w:pPr>
              <w:spacing w:line="360" w:lineRule="auto"/>
              <w:jc w:val="center"/>
              <w:rPr>
                <w:rFonts w:hint="eastAsia" w:ascii="宋体" w:hAnsi="宋体" w:eastAsia="宋体" w:cs="宋体"/>
                <w:color w:val="000000"/>
                <w:sz w:val="24"/>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5B808459">
            <w:pPr>
              <w:spacing w:line="360" w:lineRule="auto"/>
              <w:jc w:val="center"/>
              <w:rPr>
                <w:rFonts w:hint="eastAsia" w:ascii="宋体" w:hAnsi="宋体" w:eastAsia="宋体" w:cs="宋体"/>
                <w:color w:val="000000"/>
                <w:sz w:val="24"/>
              </w:rPr>
            </w:pPr>
          </w:p>
        </w:tc>
        <w:tc>
          <w:tcPr>
            <w:tcW w:w="972" w:type="dxa"/>
            <w:tcBorders>
              <w:top w:val="single" w:color="auto" w:sz="4" w:space="0"/>
              <w:left w:val="single" w:color="auto" w:sz="4" w:space="0"/>
              <w:bottom w:val="single" w:color="auto" w:sz="4" w:space="0"/>
              <w:right w:val="single" w:color="auto" w:sz="4" w:space="0"/>
            </w:tcBorders>
            <w:noWrap w:val="0"/>
            <w:vAlign w:val="center"/>
          </w:tcPr>
          <w:p w14:paraId="5FF7F3A1">
            <w:pPr>
              <w:spacing w:line="360" w:lineRule="auto"/>
              <w:jc w:val="center"/>
              <w:rPr>
                <w:rFonts w:hint="eastAsia" w:ascii="宋体" w:hAnsi="宋体" w:eastAsia="宋体" w:cs="宋体"/>
                <w:color w:val="000000"/>
                <w:sz w:val="24"/>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35D1920F">
            <w:pPr>
              <w:spacing w:line="360" w:lineRule="auto"/>
              <w:ind w:firstLine="240" w:firstLineChars="100"/>
              <w:jc w:val="both"/>
              <w:rPr>
                <w:rFonts w:hint="eastAsia" w:ascii="宋体" w:hAnsi="宋体" w:eastAsia="宋体" w:cs="宋体"/>
                <w:color w:val="000000"/>
                <w:sz w:val="24"/>
              </w:rPr>
            </w:pPr>
          </w:p>
        </w:tc>
        <w:tc>
          <w:tcPr>
            <w:tcW w:w="825" w:type="dxa"/>
            <w:tcBorders>
              <w:top w:val="single" w:color="auto" w:sz="4" w:space="0"/>
              <w:left w:val="single" w:color="auto" w:sz="4" w:space="0"/>
              <w:bottom w:val="single" w:color="auto" w:sz="4" w:space="0"/>
              <w:right w:val="single" w:color="auto" w:sz="4" w:space="0"/>
            </w:tcBorders>
            <w:noWrap w:val="0"/>
            <w:vAlign w:val="center"/>
          </w:tcPr>
          <w:p w14:paraId="235FD2E8">
            <w:pPr>
              <w:spacing w:line="360" w:lineRule="auto"/>
              <w:jc w:val="center"/>
              <w:rPr>
                <w:rFonts w:hint="eastAsia" w:ascii="宋体" w:hAnsi="宋体" w:eastAsia="宋体" w:cs="宋体"/>
                <w:color w:val="000000"/>
                <w:sz w:val="24"/>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0C861DE2">
            <w:pPr>
              <w:spacing w:line="360" w:lineRule="auto"/>
              <w:jc w:val="center"/>
              <w:rPr>
                <w:rFonts w:hint="eastAsia" w:ascii="宋体" w:hAnsi="宋体" w:eastAsia="宋体" w:cs="宋体"/>
                <w:color w:val="000000"/>
                <w:sz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2B2E30C6">
            <w:pPr>
              <w:spacing w:line="360" w:lineRule="auto"/>
              <w:jc w:val="center"/>
              <w:rPr>
                <w:rFonts w:hint="eastAsia" w:ascii="宋体" w:hAnsi="宋体" w:eastAsia="宋体" w:cs="宋体"/>
                <w:color w:val="000000"/>
                <w:sz w:val="24"/>
              </w:rPr>
            </w:pPr>
          </w:p>
        </w:tc>
      </w:tr>
    </w:tbl>
    <w:p w14:paraId="2AFEE7E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eastAsia="方正仿宋简体" w:cs="Times New Roman"/>
          <w:color w:val="000000"/>
          <w:kern w:val="2"/>
          <w:sz w:val="32"/>
          <w:szCs w:val="32"/>
          <w:lang w:val="en-US" w:eastAsia="zh-CN" w:bidi="ar-SA"/>
        </w:rPr>
      </w:pPr>
      <w:r>
        <w:rPr>
          <w:rFonts w:hint="eastAsia" w:eastAsia="方正仿宋简体" w:cs="Times New Roman"/>
          <w:sz w:val="32"/>
          <w:szCs w:val="32"/>
          <w:shd w:val="clear" w:color="auto" w:fill="FFFFFF"/>
          <w:lang w:val="en-US" w:eastAsia="zh-CN"/>
        </w:rPr>
        <w:t>（二）</w:t>
      </w:r>
      <w:r>
        <w:rPr>
          <w:rFonts w:hint="eastAsia" w:eastAsia="方正仿宋简体" w:cs="Times New Roman"/>
          <w:color w:val="000000"/>
          <w:kern w:val="2"/>
          <w:sz w:val="32"/>
          <w:szCs w:val="32"/>
          <w:lang w:val="en-US" w:eastAsia="zh-CN" w:bidi="ar-SA"/>
        </w:rPr>
        <w:t>采购要求：</w:t>
      </w:r>
    </w:p>
    <w:p w14:paraId="4B0910B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楷体简体" w:cs="Times New Roman"/>
          <w:sz w:val="32"/>
          <w:szCs w:val="32"/>
          <w:lang w:val="en-US" w:eastAsia="zh-CN"/>
        </w:rPr>
        <w:t>1.</w:t>
      </w:r>
      <w:r>
        <w:rPr>
          <w:rFonts w:hint="eastAsia" w:ascii="Times New Roman" w:hAnsi="Times New Roman" w:eastAsia="方正仿宋简体" w:cs="Times New Roman"/>
          <w:sz w:val="32"/>
          <w:szCs w:val="32"/>
          <w:lang w:val="en-US" w:eastAsia="zh-CN"/>
        </w:rPr>
        <w:t>手推式洗地机具体参数要求：</w:t>
      </w:r>
    </w:p>
    <w:p w14:paraId="6045875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（1）需求数量：1台</w:t>
      </w:r>
    </w:p>
    <w:p w14:paraId="67DAD54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28"/>
          <w:lang w:val="en-US" w:eastAsia="zh-CN"/>
        </w:rPr>
      </w:pPr>
      <w:r>
        <w:rPr>
          <w:rFonts w:hint="eastAsia" w:ascii="Times New Roman" w:hAnsi="Times New Roman" w:eastAsia="方正仿宋简体" w:cs="Times New Roman"/>
          <w:sz w:val="32"/>
          <w:szCs w:val="32"/>
          <w:lang w:val="en-US" w:eastAsia="zh-CN"/>
        </w:rPr>
        <w:t>（2）尺寸：</w:t>
      </w:r>
      <w:r>
        <w:rPr>
          <w:rFonts w:hint="default" w:ascii="Times New Roman" w:hAnsi="Times New Roman" w:eastAsia="方正仿宋简体" w:cs="Times New Roman"/>
          <w:sz w:val="32"/>
          <w:szCs w:val="28"/>
          <w:lang w:val="en-US"/>
        </w:rPr>
        <w:t>机身尺寸</w:t>
      </w:r>
      <w:r>
        <w:rPr>
          <w:rFonts w:hint="eastAsia" w:ascii="Times New Roman" w:hAnsi="Times New Roman" w:eastAsia="方正仿宋简体" w:cs="Times New Roman"/>
          <w:sz w:val="32"/>
          <w:szCs w:val="28"/>
          <w:lang w:val="en-US" w:eastAsia="zh-CN"/>
        </w:rPr>
        <w:t xml:space="preserve">       </w:t>
      </w:r>
    </w:p>
    <w:p w14:paraId="53668CF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28"/>
          <w:lang w:val="en-US" w:eastAsia="zh-CN"/>
        </w:rPr>
        <w:t>（3）</w:t>
      </w:r>
      <w:r>
        <w:rPr>
          <w:rFonts w:hint="eastAsia" w:ascii="Times New Roman" w:hAnsi="Times New Roman" w:eastAsia="方正仿宋简体" w:cs="Times New Roman"/>
          <w:sz w:val="32"/>
          <w:szCs w:val="32"/>
          <w:lang w:val="en-US" w:eastAsia="zh-CN"/>
        </w:rPr>
        <w:t>水箱：</w:t>
      </w:r>
      <w:r>
        <w:rPr>
          <w:rFonts w:hint="default" w:ascii="Times New Roman" w:hAnsi="Times New Roman" w:eastAsia="方正仿宋简体" w:cs="Times New Roman"/>
          <w:sz w:val="32"/>
          <w:szCs w:val="28"/>
          <w:lang w:val="en-US"/>
        </w:rPr>
        <w:t>进口LDPE滚塑一体成型水箱</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清水箱</w:t>
      </w:r>
      <w:r>
        <w:rPr>
          <w:rFonts w:hint="default" w:ascii="Times New Roman" w:hAnsi="Times New Roman" w:eastAsia="方正仿宋简体" w:cs="Times New Roman"/>
          <w:sz w:val="32"/>
          <w:szCs w:val="28"/>
          <w:lang w:val="en-US" w:eastAsia="zh-CN"/>
        </w:rPr>
        <w:t>：</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50L、污水箱</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55L</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污水箱侧翻敞口式设计，配备水位观察显示器</w:t>
      </w:r>
      <w:r>
        <w:rPr>
          <w:rFonts w:hint="eastAsia" w:ascii="Times New Roman" w:hAnsi="Times New Roman" w:eastAsia="方正仿宋简体" w:cs="Times New Roman"/>
          <w:sz w:val="32"/>
          <w:szCs w:val="28"/>
          <w:lang w:val="en-US" w:eastAsia="zh-CN"/>
        </w:rPr>
        <w:t>；</w:t>
      </w:r>
    </w:p>
    <w:p w14:paraId="7521598B">
      <w:pPr>
        <w:keepNext w:val="0"/>
        <w:keepLines w:val="0"/>
        <w:pageBreakBefore w:val="0"/>
        <w:widowControl w:val="0"/>
        <w:kinsoku/>
        <w:wordWrap w:val="0"/>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（4）工作性能：</w:t>
      </w:r>
      <w:r>
        <w:rPr>
          <w:rFonts w:hint="default" w:ascii="Times New Roman" w:hAnsi="Times New Roman" w:eastAsia="方正仿宋简体" w:cs="Times New Roman"/>
          <w:sz w:val="32"/>
          <w:szCs w:val="32"/>
          <w:lang w:val="en-US" w:eastAsia="zh-CN"/>
        </w:rPr>
        <w:t>每小时清洁面积</w:t>
      </w:r>
      <w:r>
        <w:rPr>
          <w:rFonts w:hint="eastAsia" w:ascii="Times New Roman" w:hAnsi="Times New Roman" w:eastAsia="方正仿宋简体" w:cs="Times New Roman"/>
          <w:sz w:val="32"/>
          <w:szCs w:val="32"/>
          <w:lang w:val="en-US" w:eastAsia="zh-CN"/>
        </w:rPr>
        <w:t>约≥</w:t>
      </w:r>
      <w:r>
        <w:rPr>
          <w:rFonts w:hint="default" w:ascii="Times New Roman" w:hAnsi="Times New Roman" w:eastAsia="方正仿宋简体" w:cs="Times New Roman"/>
          <w:sz w:val="32"/>
          <w:szCs w:val="32"/>
          <w:lang w:val="en-US" w:eastAsia="zh-CN"/>
        </w:rPr>
        <w:t>2</w:t>
      </w:r>
      <w:r>
        <w:rPr>
          <w:rFonts w:hint="eastAsia" w:ascii="Times New Roman" w:hAnsi="Times New Roman" w:eastAsia="方正仿宋简体" w:cs="Times New Roman"/>
          <w:sz w:val="32"/>
          <w:szCs w:val="32"/>
          <w:lang w:val="en-US" w:eastAsia="zh-CN"/>
        </w:rPr>
        <w:t>0</w:t>
      </w:r>
      <w:r>
        <w:rPr>
          <w:rFonts w:hint="default" w:ascii="Times New Roman" w:hAnsi="Times New Roman" w:eastAsia="方正仿宋简体" w:cs="Times New Roman"/>
          <w:sz w:val="32"/>
          <w:szCs w:val="32"/>
          <w:lang w:val="en-US" w:eastAsia="zh-CN"/>
        </w:rPr>
        <w:t>00㎡，清洗宽度</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530mm，吸水扒宽度</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800mm，刷盘转速</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180rpm</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整机噪音</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68dB(A)，爬坡能力15%，行走速度0-7km/h</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设备净重</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140KG</w:t>
      </w:r>
      <w:r>
        <w:rPr>
          <w:rFonts w:hint="eastAsia" w:ascii="Times New Roman" w:hAnsi="Times New Roman" w:eastAsia="方正仿宋简体" w:cs="Times New Roman"/>
          <w:sz w:val="32"/>
          <w:szCs w:val="32"/>
          <w:lang w:val="en-US" w:eastAsia="zh-CN"/>
        </w:rPr>
        <w:t>；</w:t>
      </w:r>
    </w:p>
    <w:p w14:paraId="481BF6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28"/>
          <w:lang w:val="en-US"/>
        </w:rPr>
        <w:t>电机与电池：额定电压24V</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吸水电机550W、行走电机500W、刷盘电机550W</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搭载24V</w:t>
      </w:r>
      <w:r>
        <w:rPr>
          <w:rFonts w:hint="default"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100Ah蓄电池，单次续航工作时长</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28"/>
          <w:lang w:val="en-US"/>
        </w:rPr>
        <w:t>3</w:t>
      </w:r>
      <w:r>
        <w:rPr>
          <w:rFonts w:hint="default"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6h；</w:t>
      </w:r>
    </w:p>
    <w:p w14:paraId="03DBB8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28"/>
          <w:lang w:val="en-US" w:eastAsia="zh-CN"/>
        </w:rPr>
      </w:pPr>
      <w:r>
        <w:rPr>
          <w:rFonts w:hint="eastAsia" w:ascii="Times New Roman" w:hAnsi="Times New Roman" w:eastAsia="方正仿宋简体" w:cs="Times New Roman"/>
          <w:sz w:val="32"/>
          <w:szCs w:val="32"/>
          <w:lang w:val="en-US" w:eastAsia="zh-CN"/>
        </w:rPr>
        <w:t>（6）硬件配置：</w:t>
      </w:r>
      <w:r>
        <w:rPr>
          <w:rFonts w:hint="default" w:ascii="Times New Roman" w:hAnsi="Times New Roman" w:eastAsia="方正仿宋简体" w:cs="Times New Roman"/>
          <w:sz w:val="32"/>
          <w:szCs w:val="28"/>
          <w:lang w:val="en-US"/>
        </w:rPr>
        <w:t>按键式控制面板</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铝合金压铸一次成型吸水扒、注塑一体式刷盘罩</w:t>
      </w:r>
      <w:r>
        <w:rPr>
          <w:rFonts w:hint="eastAsia" w:ascii="Times New Roman" w:hAnsi="Times New Roman" w:eastAsia="方正仿宋简体" w:cs="Times New Roman"/>
          <w:sz w:val="32"/>
          <w:szCs w:val="28"/>
          <w:lang w:val="en-US" w:eastAsia="zh-CN"/>
        </w:rPr>
        <w:t>，</w:t>
      </w:r>
      <w:r>
        <w:rPr>
          <w:rFonts w:hint="default" w:ascii="Times New Roman" w:hAnsi="Times New Roman" w:eastAsia="方正仿宋简体" w:cs="Times New Roman"/>
          <w:sz w:val="32"/>
          <w:szCs w:val="28"/>
          <w:lang w:val="en-US"/>
        </w:rPr>
        <w:t>吸水电机内置降噪，集成控制线路便于后期检修</w:t>
      </w:r>
      <w:r>
        <w:rPr>
          <w:rFonts w:hint="eastAsia" w:ascii="Times New Roman" w:hAnsi="Times New Roman" w:eastAsia="方正仿宋简体" w:cs="Times New Roman"/>
          <w:sz w:val="32"/>
          <w:szCs w:val="28"/>
          <w:lang w:val="en-US" w:eastAsia="zh-CN"/>
        </w:rPr>
        <w:t>。</w:t>
      </w:r>
    </w:p>
    <w:p w14:paraId="14C122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楷体简体" w:cs="Times New Roman"/>
          <w:sz w:val="32"/>
          <w:szCs w:val="32"/>
          <w:lang w:val="en-US" w:eastAsia="zh-CN"/>
        </w:rPr>
        <w:t>2.</w:t>
      </w:r>
      <w:r>
        <w:rPr>
          <w:rFonts w:hint="eastAsia" w:ascii="Times New Roman" w:hAnsi="Times New Roman" w:eastAsia="方正仿宋简体" w:cs="Times New Roman"/>
          <w:sz w:val="32"/>
          <w:szCs w:val="32"/>
          <w:lang w:val="en-US" w:eastAsia="zh-CN"/>
        </w:rPr>
        <w:t>立式广告机具体参数要求：</w:t>
      </w:r>
    </w:p>
    <w:p w14:paraId="166B6F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（1）需求数量：1台</w:t>
      </w:r>
    </w:p>
    <w:p w14:paraId="652F942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 xml:space="preserve">（2）尺寸：      </w:t>
      </w:r>
    </w:p>
    <w:p w14:paraId="6C28BE2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（3）屏幕配置</w:t>
      </w:r>
    </w:p>
    <w:p w14:paraId="43AD08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微软雅黑" w:hAnsi="微软雅黑" w:eastAsia="微软雅黑" w:cs="微软雅黑"/>
          <w:sz w:val="32"/>
          <w:szCs w:val="32"/>
          <w:lang w:val="en-US" w:eastAsia="zh-CN"/>
        </w:rPr>
        <w:t>①</w:t>
      </w:r>
      <w:r>
        <w:rPr>
          <w:rFonts w:hint="eastAsia" w:ascii="Times New Roman" w:hAnsi="Times New Roman" w:eastAsia="方正仿宋简体" w:cs="Times New Roman"/>
          <w:sz w:val="32"/>
          <w:szCs w:val="32"/>
          <w:lang w:val="en-US" w:eastAsia="zh-CN"/>
        </w:rPr>
        <w:t>屏幕规格：</w:t>
      </w:r>
      <w:r>
        <w:rPr>
          <w:rFonts w:hint="default" w:ascii="Times New Roman" w:hAnsi="Times New Roman" w:eastAsia="方正仿宋简体" w:cs="Times New Roman"/>
          <w:sz w:val="32"/>
          <w:szCs w:val="32"/>
          <w:lang w:val="en-US" w:eastAsia="zh-CN"/>
        </w:rPr>
        <w:t>规格</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55寸</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红外竖屏、平面LED背光</w:t>
      </w:r>
    </w:p>
    <w:p w14:paraId="7FFF5BB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微软雅黑" w:hAnsi="微软雅黑" w:eastAsia="微软雅黑" w:cs="微软雅黑"/>
          <w:sz w:val="32"/>
          <w:szCs w:val="32"/>
          <w:lang w:val="en-US" w:eastAsia="zh-CN"/>
        </w:rPr>
        <w:t>②</w:t>
      </w:r>
      <w:r>
        <w:rPr>
          <w:rFonts w:hint="eastAsia" w:ascii="Times New Roman" w:hAnsi="Times New Roman" w:eastAsia="方正仿宋简体" w:cs="Times New Roman"/>
          <w:sz w:val="32"/>
          <w:szCs w:val="32"/>
          <w:lang w:val="en-US" w:eastAsia="zh-CN"/>
        </w:rPr>
        <w:t>显示区域：≥</w:t>
      </w:r>
      <w:r>
        <w:rPr>
          <w:rFonts w:hint="default" w:ascii="Times New Roman" w:hAnsi="Times New Roman" w:eastAsia="方正仿宋简体" w:cs="Times New Roman"/>
          <w:sz w:val="32"/>
          <w:szCs w:val="32"/>
          <w:lang w:val="en-US" w:eastAsia="zh-CN"/>
        </w:rPr>
        <w:t>1210.2×680.7mm</w:t>
      </w:r>
    </w:p>
    <w:p w14:paraId="42BC3E7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微软雅黑" w:hAnsi="微软雅黑" w:eastAsia="微软雅黑" w:cs="微软雅黑"/>
          <w:sz w:val="32"/>
          <w:szCs w:val="32"/>
          <w:lang w:val="en-US" w:eastAsia="zh-CN"/>
        </w:rPr>
        <w:t>③</w:t>
      </w:r>
      <w:r>
        <w:rPr>
          <w:rFonts w:hint="eastAsia" w:ascii="Times New Roman" w:hAnsi="Times New Roman" w:eastAsia="方正仿宋简体" w:cs="Times New Roman"/>
          <w:sz w:val="32"/>
          <w:szCs w:val="32"/>
          <w:lang w:val="en-US" w:eastAsia="zh-CN"/>
        </w:rPr>
        <w:t>屏幕比例：</w:t>
      </w:r>
      <w:r>
        <w:rPr>
          <w:rFonts w:hint="default" w:ascii="Times New Roman" w:hAnsi="Times New Roman" w:eastAsia="方正仿宋简体" w:cs="Times New Roman"/>
          <w:sz w:val="32"/>
          <w:szCs w:val="32"/>
          <w:lang w:val="en-US" w:eastAsia="zh-CN"/>
        </w:rPr>
        <w:t>16:9，支持横屏、竖屏切换显示</w:t>
      </w:r>
    </w:p>
    <w:p w14:paraId="1C63CD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微软雅黑" w:hAnsi="微软雅黑" w:eastAsia="微软雅黑" w:cs="微软雅黑"/>
          <w:sz w:val="32"/>
          <w:szCs w:val="32"/>
          <w:lang w:val="en-US" w:eastAsia="zh-CN"/>
        </w:rPr>
        <w:t>④</w:t>
      </w:r>
      <w:r>
        <w:rPr>
          <w:rFonts w:hint="eastAsia" w:ascii="Times New Roman" w:hAnsi="Times New Roman" w:eastAsia="方正仿宋简体" w:cs="Times New Roman"/>
          <w:sz w:val="32"/>
          <w:szCs w:val="32"/>
          <w:lang w:val="en-US" w:eastAsia="zh-CN"/>
        </w:rPr>
        <w:t>分辨率可选：</w:t>
      </w:r>
      <w:r>
        <w:rPr>
          <w:rFonts w:hint="default" w:ascii="Times New Roman" w:hAnsi="Times New Roman" w:eastAsia="方正仿宋简体" w:cs="Times New Roman"/>
          <w:sz w:val="32"/>
          <w:szCs w:val="32"/>
          <w:lang w:val="en-US" w:eastAsia="zh-CN"/>
        </w:rPr>
        <w:t>1920</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1080/3840</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2160</w:t>
      </w:r>
    </w:p>
    <w:p w14:paraId="1662EDD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（4）系统环境：</w:t>
      </w:r>
      <w:r>
        <w:rPr>
          <w:rFonts w:hint="default" w:ascii="Times New Roman" w:hAnsi="Times New Roman" w:eastAsia="方正仿宋简体" w:cs="Times New Roman"/>
          <w:sz w:val="32"/>
          <w:szCs w:val="32"/>
          <w:lang w:val="en-US" w:eastAsia="zh-CN"/>
        </w:rPr>
        <w:t>兼容安卓、Windows、鸿蒙多操作系统</w:t>
      </w:r>
    </w:p>
    <w:p w14:paraId="4AA91F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32"/>
          <w:lang w:val="en-US" w:eastAsia="zh-CN"/>
        </w:rPr>
        <w:t>放置方式：立式落地摆放，自带触摸屏功能</w:t>
      </w:r>
      <w:r>
        <w:rPr>
          <w:rFonts w:hint="eastAsia" w:ascii="Times New Roman" w:hAnsi="Times New Roman" w:eastAsia="方正仿宋简体" w:cs="Times New Roman"/>
          <w:sz w:val="32"/>
          <w:szCs w:val="32"/>
          <w:lang w:val="en-US" w:eastAsia="zh-CN"/>
        </w:rPr>
        <w:t>。</w:t>
      </w:r>
    </w:p>
    <w:p w14:paraId="5720E7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楷体简体" w:cs="Times New Roman"/>
          <w:sz w:val="32"/>
          <w:szCs w:val="32"/>
          <w:lang w:val="en-US" w:eastAsia="zh-CN"/>
        </w:rPr>
        <w:t>3.</w:t>
      </w:r>
      <w:r>
        <w:rPr>
          <w:rFonts w:hint="eastAsia" w:ascii="Times New Roman" w:hAnsi="Times New Roman" w:eastAsia="方正仿宋简体" w:cs="Times New Roman"/>
          <w:sz w:val="32"/>
          <w:szCs w:val="32"/>
          <w:lang w:val="en-US" w:eastAsia="zh-CN"/>
        </w:rPr>
        <w:t>推拉式雨棚具体参数要求：</w:t>
      </w:r>
    </w:p>
    <w:p w14:paraId="248FE95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（1）需求数量：1套</w:t>
      </w:r>
    </w:p>
    <w:p w14:paraId="61017966">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 xml:space="preserve">（2）尺寸：     </w:t>
      </w:r>
    </w:p>
    <w:p w14:paraId="2EBBA4D0">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（3）</w:t>
      </w:r>
      <w:r>
        <w:rPr>
          <w:rFonts w:hint="eastAsia" w:ascii="Times New Roman" w:hAnsi="Times New Roman" w:eastAsia="方正仿宋简体" w:cs="Times New Roman"/>
          <w:sz w:val="32"/>
          <w:szCs w:val="32"/>
        </w:rPr>
        <w:t>结构类型：手动落地推拉伸缩雨棚，框架选用加厚镀锌钢管，牢固抗风、不易锈蚀；</w:t>
      </w:r>
    </w:p>
    <w:p w14:paraId="1975B9F1">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（4）</w:t>
      </w:r>
      <w:r>
        <w:rPr>
          <w:rFonts w:hint="eastAsia" w:ascii="Times New Roman" w:hAnsi="Times New Roman" w:eastAsia="方正仿宋简体" w:cs="Times New Roman"/>
          <w:sz w:val="32"/>
          <w:szCs w:val="32"/>
        </w:rPr>
        <w:t>篷布材质：加厚耐磨防雨防晒帆布，具备抗老化、防水、耐撕扯特性，适配户外长期使用；</w:t>
      </w:r>
    </w:p>
    <w:p w14:paraId="2D50C089">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（5）</w:t>
      </w:r>
      <w:r>
        <w:rPr>
          <w:rFonts w:hint="eastAsia" w:ascii="Times New Roman" w:hAnsi="Times New Roman" w:eastAsia="方正仿宋简体" w:cs="Times New Roman"/>
          <w:sz w:val="32"/>
          <w:szCs w:val="32"/>
        </w:rPr>
        <w:t>底部配置带刹车万向滑轮，整体可灵活推移，推拉伸缩顺滑，可根据堆放桌椅的数量调整遮阳挡雨面积；</w:t>
      </w:r>
    </w:p>
    <w:p w14:paraId="1E15D663">
      <w:pPr>
        <w:keepNext w:val="0"/>
        <w:keepLines w:val="0"/>
        <w:pageBreakBefore w:val="0"/>
        <w:kinsoku/>
        <w:wordWrap/>
        <w:overflowPunct/>
        <w:topLinePunct w:val="0"/>
        <w:autoSpaceDE/>
        <w:autoSpaceDN/>
        <w:bidi w:val="0"/>
        <w:adjustRightInd/>
        <w:spacing w:line="580" w:lineRule="exact"/>
        <w:ind w:firstLine="640" w:firstLineChars="200"/>
        <w:jc w:val="left"/>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整体安装便捷，无需地面固化施工，后期篷布可单独更换。</w:t>
      </w:r>
    </w:p>
    <w:p w14:paraId="63C0BDC6">
      <w:pPr>
        <w:keepNext w:val="0"/>
        <w:keepLines w:val="0"/>
        <w:pageBreakBefore w:val="0"/>
        <w:kinsoku/>
        <w:wordWrap/>
        <w:overflowPunct/>
        <w:topLinePunct w:val="0"/>
        <w:autoSpaceDE/>
        <w:autoSpaceDN/>
        <w:bidi w:val="0"/>
        <w:adjustRightInd/>
        <w:spacing w:line="580" w:lineRule="exact"/>
        <w:ind w:firstLine="640" w:firstLineChars="200"/>
        <w:jc w:val="left"/>
        <w:rPr>
          <w:rFonts w:hint="default"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4.服务</w:t>
      </w:r>
      <w:r>
        <w:rPr>
          <w:rFonts w:hint="default" w:ascii="Times New Roman" w:hAnsi="Times New Roman" w:eastAsia="方正仿宋简体" w:cs="Times New Roman"/>
          <w:sz w:val="32"/>
          <w:szCs w:val="32"/>
        </w:rPr>
        <w:t>要求：</w:t>
      </w:r>
    </w:p>
    <w:p w14:paraId="5C904204">
      <w:pPr>
        <w:keepNext w:val="0"/>
        <w:keepLines w:val="0"/>
        <w:pageBreakBefore w:val="0"/>
        <w:kinsoku/>
        <w:wordWrap/>
        <w:overflowPunct/>
        <w:topLinePunct w:val="0"/>
        <w:autoSpaceDE/>
        <w:autoSpaceDN/>
        <w:bidi w:val="0"/>
        <w:adjustRightInd/>
        <w:spacing w:line="580" w:lineRule="exact"/>
        <w:ind w:firstLine="640" w:firstLineChars="200"/>
        <w:jc w:val="left"/>
        <w:rPr>
          <w:rFonts w:hint="default"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供货及安装调试：供应商负责设备运输、现场安装、布线、调试，直至设备正常投入使用</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安装须符合现场安全规范，完工后清理施工垃圾</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推拉式雨棚需现场实地勘测尺寸，按场地情况定制制作、安装牢固，满足抗风防雨使用要求。</w:t>
      </w:r>
    </w:p>
    <w:p w14:paraId="38FBF6D8">
      <w:pPr>
        <w:keepNext w:val="0"/>
        <w:keepLines w:val="0"/>
        <w:pageBreakBefore w:val="0"/>
        <w:kinsoku/>
        <w:wordWrap/>
        <w:overflowPunct/>
        <w:topLinePunct w:val="0"/>
        <w:autoSpaceDE/>
        <w:autoSpaceDN/>
        <w:bidi w:val="0"/>
        <w:adjustRightInd/>
        <w:spacing w:line="580" w:lineRule="exact"/>
        <w:ind w:firstLine="640" w:firstLineChars="200"/>
        <w:jc w:val="left"/>
        <w:rPr>
          <w:rFonts w:hint="default"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rPr>
        <w:t>培训服务：设备交付后，对宾馆操作</w:t>
      </w:r>
      <w:r>
        <w:rPr>
          <w:rFonts w:hint="eastAsia" w:ascii="Times New Roman" w:hAnsi="Times New Roman" w:eastAsia="方正仿宋简体" w:cs="Times New Roman"/>
          <w:sz w:val="32"/>
          <w:szCs w:val="32"/>
          <w:lang w:val="en-US" w:eastAsia="zh-CN"/>
        </w:rPr>
        <w:t>人员</w:t>
      </w:r>
      <w:r>
        <w:rPr>
          <w:rFonts w:hint="default" w:ascii="Times New Roman" w:hAnsi="Times New Roman" w:eastAsia="方正仿宋简体" w:cs="Times New Roman"/>
          <w:sz w:val="32"/>
          <w:szCs w:val="32"/>
        </w:rPr>
        <w:t>、管理人员开展现场实操培训，包含设备操作、日常保养、简单故障识别，提供纸质操作手册。</w:t>
      </w:r>
    </w:p>
    <w:p w14:paraId="42AFCFEC">
      <w:pPr>
        <w:keepNext w:val="0"/>
        <w:keepLines w:val="0"/>
        <w:pageBreakBefore w:val="0"/>
        <w:kinsoku/>
        <w:wordWrap/>
        <w:overflowPunct/>
        <w:topLinePunct w:val="0"/>
        <w:autoSpaceDE/>
        <w:autoSpaceDN/>
        <w:bidi w:val="0"/>
        <w:adjustRightInd/>
        <w:spacing w:line="580" w:lineRule="exact"/>
        <w:ind w:firstLine="640" w:firstLineChars="200"/>
        <w:jc w:val="left"/>
        <w:rPr>
          <w:rFonts w:hint="default"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rPr>
        <w:t>质保服务：手推式洗地机整机质保不少于1年，电机、电池核心部件质保不少于1年；立式广告机整机质保不少于1年，液晶屏、主板核心部件质保不少于1年；推拉式雨棚钢架主体质保不少于2年，篷布质保不少于1年</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耗材、人为损坏、自然灾害等非产品质量问题不在免费质保范围内</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质保期内出现质量或安装问题，供应商免费上门维修、更换配件</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质保期内因产品质量、安装问题产生故障，供应商免费上门维修、更换零配件；接到报修后</w:t>
      </w:r>
      <w:r>
        <w:rPr>
          <w:rFonts w:hint="eastAsia" w:ascii="Times New Roman" w:hAnsi="Times New Roman" w:eastAsia="方正仿宋简体" w:cs="Times New Roman"/>
          <w:sz w:val="32"/>
          <w:szCs w:val="32"/>
          <w:lang w:val="en-US" w:eastAsia="zh-CN"/>
        </w:rPr>
        <w:t>2小时内响应，远程指导排查；无法远程解决的，48小时内上门处理</w:t>
      </w:r>
      <w:r>
        <w:rPr>
          <w:rFonts w:hint="default" w:ascii="Times New Roman" w:hAnsi="Times New Roman" w:eastAsia="方正仿宋简体" w:cs="Times New Roman"/>
          <w:sz w:val="32"/>
          <w:szCs w:val="32"/>
        </w:rPr>
        <w:t>。</w:t>
      </w:r>
    </w:p>
    <w:p w14:paraId="5C7910B0">
      <w:pPr>
        <w:keepNext w:val="0"/>
        <w:keepLines w:val="0"/>
        <w:pageBreakBefore w:val="0"/>
        <w:kinsoku/>
        <w:wordWrap/>
        <w:overflowPunct/>
        <w:topLinePunct w:val="0"/>
        <w:autoSpaceDE/>
        <w:autoSpaceDN/>
        <w:bidi w:val="0"/>
        <w:adjustRightInd/>
        <w:spacing w:line="580" w:lineRule="exact"/>
        <w:ind w:firstLine="640" w:firstLineChars="200"/>
        <w:jc w:val="left"/>
        <w:rPr>
          <w:rFonts w:hint="default" w:ascii="Times New Roman" w:hAnsi="Times New Roman" w:eastAsia="方正仿宋简体" w:cs="Times New Roman"/>
          <w:sz w:val="32"/>
          <w:szCs w:val="32"/>
        </w:rPr>
      </w:pPr>
      <w:r>
        <w:rPr>
          <w:rFonts w:hint="eastAsia" w:ascii="Times New Roman" w:hAnsi="Times New Roman" w:eastAsia="方正仿宋简体" w:cs="Times New Roman"/>
          <w:sz w:val="32"/>
          <w:szCs w:val="32"/>
          <w:lang w:val="en-US" w:eastAsia="zh-CN"/>
        </w:rPr>
        <w:t>（4）</w:t>
      </w:r>
      <w:r>
        <w:rPr>
          <w:rFonts w:hint="default" w:ascii="Times New Roman" w:hAnsi="Times New Roman" w:eastAsia="方正仿宋简体" w:cs="Times New Roman"/>
          <w:sz w:val="32"/>
          <w:szCs w:val="32"/>
        </w:rPr>
        <w:t>售后维保：质保期满后，提供终身有偿维保服务，列明零配件报价清单及上门服务费标准</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定期提供维保建议。</w:t>
      </w:r>
    </w:p>
    <w:p w14:paraId="212C416E">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32"/>
        </w:rPr>
        <w:t>其他要求：供货安装周期需满足我方使用时间要求</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rPr>
        <w:t>施工及设备材料须符合国家相关标准，</w:t>
      </w:r>
      <w:r>
        <w:rPr>
          <w:rFonts w:hint="default" w:ascii="Times New Roman" w:hAnsi="Times New Roman" w:eastAsia="方正仿宋简体" w:cs="Times New Roman"/>
          <w:sz w:val="32"/>
          <w:szCs w:val="32"/>
        </w:rPr>
        <w:t>所有产品为全新正品。</w:t>
      </w:r>
    </w:p>
    <w:p w14:paraId="60BC933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第二条  合同总价</w:t>
      </w:r>
    </w:p>
    <w:p w14:paraId="75BEF282">
      <w:pPr>
        <w:pStyle w:val="3"/>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方正仿宋简体" w:cs="Times New Roman"/>
          <w:color w:val="000000"/>
          <w:kern w:val="2"/>
          <w:sz w:val="32"/>
          <w:szCs w:val="32"/>
          <w:lang w:val="en-US" w:eastAsia="zh-CN" w:bidi="ar-SA"/>
        </w:rPr>
        <w:t>合同</w:t>
      </w:r>
      <w:r>
        <w:rPr>
          <w:rFonts w:hint="eastAsia" w:eastAsia="方正仿宋简体" w:cs="Times New Roman"/>
          <w:color w:val="000000"/>
          <w:kern w:val="2"/>
          <w:sz w:val="32"/>
          <w:szCs w:val="32"/>
          <w:lang w:val="en-US" w:eastAsia="zh-CN" w:bidi="ar-SA"/>
        </w:rPr>
        <w:t>含税</w:t>
      </w:r>
      <w:r>
        <w:rPr>
          <w:rFonts w:hint="default" w:ascii="Times New Roman" w:hAnsi="Times New Roman" w:eastAsia="方正仿宋简体" w:cs="Times New Roman"/>
          <w:color w:val="000000"/>
          <w:kern w:val="2"/>
          <w:sz w:val="32"/>
          <w:szCs w:val="32"/>
          <w:lang w:val="en-US" w:eastAsia="zh-CN" w:bidi="ar-SA"/>
        </w:rPr>
        <w:t>总</w:t>
      </w:r>
      <w:r>
        <w:rPr>
          <w:rFonts w:hint="eastAsia" w:eastAsia="方正仿宋简体" w:cs="Times New Roman"/>
          <w:color w:val="000000"/>
          <w:kern w:val="2"/>
          <w:sz w:val="32"/>
          <w:szCs w:val="32"/>
          <w:lang w:val="en-US" w:eastAsia="zh-CN" w:bidi="ar-SA"/>
        </w:rPr>
        <w:t>金额</w:t>
      </w:r>
      <w:r>
        <w:rPr>
          <w:rFonts w:hint="default" w:ascii="Times New Roman" w:hAnsi="Times New Roman" w:eastAsia="方正仿宋简体" w:cs="Times New Roman"/>
          <w:color w:val="000000"/>
          <w:kern w:val="2"/>
          <w:sz w:val="32"/>
          <w:szCs w:val="32"/>
          <w:lang w:val="en-US" w:eastAsia="zh-CN" w:bidi="ar-SA"/>
        </w:rPr>
        <w:t>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不含税金额为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税率为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lang w:val="en-US" w:eastAsia="zh-CN" w:bidi="ar-SA"/>
        </w:rPr>
        <w:t>%，税额为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该合同总价包括</w:t>
      </w:r>
      <w:r>
        <w:rPr>
          <w:rFonts w:hint="eastAsia" w:ascii="Times New Roman" w:hAnsi="Times New Roman" w:eastAsia="方正仿宋简体" w:cs="Times New Roman"/>
          <w:color w:val="000000"/>
          <w:kern w:val="2"/>
          <w:sz w:val="32"/>
          <w:szCs w:val="32"/>
          <w:lang w:val="en-US" w:eastAsia="zh-CN" w:bidi="ar-SA"/>
        </w:rPr>
        <w:t>但不限于</w:t>
      </w:r>
      <w:r>
        <w:rPr>
          <w:rFonts w:hint="eastAsia" w:ascii="Times New Roman" w:hAnsi="Times New Roman" w:eastAsia="方正仿宋简体" w:cs="Times New Roman"/>
          <w:b w:val="0"/>
          <w:bCs w:val="0"/>
          <w:color w:val="auto"/>
          <w:spacing w:val="1"/>
          <w:position w:val="1"/>
          <w:sz w:val="32"/>
          <w:szCs w:val="32"/>
          <w:lang w:val="en-US" w:eastAsia="zh-CN"/>
        </w:rPr>
        <w:t>成本费用、运输费、上门送货卸货费、安装调试费、操作培训服务费、辅材费、维保费用</w:t>
      </w:r>
      <w:r>
        <w:rPr>
          <w:rFonts w:hint="eastAsia" w:eastAsia="方正仿宋简体" w:cs="Times New Roman"/>
          <w:color w:val="000000" w:themeColor="text1"/>
          <w:sz w:val="32"/>
          <w:szCs w:val="32"/>
          <w:highlight w:val="none"/>
          <w:u w:val="none"/>
          <w:lang w:val="en-US" w:eastAsia="zh-CN"/>
          <w14:textFill>
            <w14:solidFill>
              <w14:schemeClr w14:val="tx1"/>
            </w14:solidFill>
          </w14:textFill>
        </w:rPr>
        <w:t>以及为</w:t>
      </w:r>
      <w:r>
        <w:rPr>
          <w:rFonts w:hint="default" w:ascii="Times New Roman" w:hAnsi="Times New Roman" w:eastAsia="方正仿宋简体" w:cs="Times New Roman"/>
          <w:color w:val="000000" w:themeColor="text1"/>
          <w:sz w:val="32"/>
          <w:szCs w:val="32"/>
          <w:highlight w:val="none"/>
          <w:u w:val="none"/>
          <w:lang w:val="en-US" w:eastAsia="zh-CN"/>
          <w14:textFill>
            <w14:solidFill>
              <w14:schemeClr w14:val="tx1"/>
            </w14:solidFill>
          </w14:textFill>
        </w:rPr>
        <w:t>完成本项目约定</w:t>
      </w:r>
      <w:r>
        <w:rPr>
          <w:rFonts w:hint="eastAsia" w:eastAsia="方正仿宋简体" w:cs="Times New Roman"/>
          <w:color w:val="000000" w:themeColor="text1"/>
          <w:sz w:val="32"/>
          <w:szCs w:val="32"/>
          <w:highlight w:val="none"/>
          <w:u w:val="none"/>
          <w:lang w:val="en-US" w:eastAsia="zh-CN"/>
          <w14:textFill>
            <w14:solidFill>
              <w14:schemeClr w14:val="tx1"/>
            </w14:solidFill>
          </w14:textFill>
        </w:rPr>
        <w:t>事项</w:t>
      </w:r>
      <w:r>
        <w:rPr>
          <w:rFonts w:hint="default" w:ascii="Times New Roman" w:hAnsi="Times New Roman" w:eastAsia="方正仿宋简体" w:cs="Times New Roman"/>
          <w:color w:val="000000" w:themeColor="text1"/>
          <w:sz w:val="32"/>
          <w:szCs w:val="32"/>
          <w:highlight w:val="none"/>
          <w:u w:val="none"/>
          <w:lang w:val="en-US" w:eastAsia="zh-CN"/>
          <w14:textFill>
            <w14:solidFill>
              <w14:schemeClr w14:val="tx1"/>
            </w14:solidFill>
          </w14:textFill>
        </w:rPr>
        <w:t>的所有费用。</w:t>
      </w:r>
      <w:bookmarkStart w:id="0" w:name="_GoBack"/>
      <w:bookmarkEnd w:id="0"/>
    </w:p>
    <w:p w14:paraId="3D8C8EC7">
      <w:pPr>
        <w:pStyle w:val="3"/>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color w:val="000000"/>
          <w:kern w:val="2"/>
          <w:sz w:val="32"/>
          <w:szCs w:val="32"/>
          <w:lang w:val="en-US" w:eastAsia="zh-CN" w:bidi="ar-SA"/>
        </w:rPr>
        <w:t>本合同执行期间合同总价不变，甲方无须另向乙方支付本合同规定之外的其他任何费用。</w:t>
      </w:r>
    </w:p>
    <w:p w14:paraId="6EB967D0">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lang w:val="en-US" w:eastAsia="zh-CN"/>
        </w:rPr>
        <w:t xml:space="preserve">第三条 </w:t>
      </w:r>
      <w:r>
        <w:rPr>
          <w:rFonts w:hint="eastAsia" w:ascii="黑体" w:hAnsi="黑体" w:eastAsia="黑体" w:cs="黑体"/>
          <w:b w:val="0"/>
          <w:bCs w:val="0"/>
          <w:sz w:val="32"/>
          <w:szCs w:val="32"/>
        </w:rPr>
        <w:t xml:space="preserve"> </w:t>
      </w:r>
      <w:r>
        <w:rPr>
          <w:rFonts w:hint="eastAsia" w:ascii="黑体" w:hAnsi="黑体" w:eastAsia="黑体" w:cs="黑体"/>
          <w:b w:val="0"/>
          <w:bCs w:val="0"/>
          <w:sz w:val="32"/>
          <w:szCs w:val="32"/>
          <w:lang w:val="en-US" w:eastAsia="zh-CN"/>
        </w:rPr>
        <w:t>服务周期</w:t>
      </w:r>
      <w:r>
        <w:rPr>
          <w:rFonts w:hint="eastAsia" w:ascii="方正仿宋简体" w:hAnsi="方正仿宋简体" w:eastAsia="方正仿宋简体" w:cs="方正仿宋简体"/>
          <w:b/>
          <w:sz w:val="32"/>
          <w:szCs w:val="32"/>
        </w:rPr>
        <w:tab/>
      </w:r>
    </w:p>
    <w:p w14:paraId="53665725">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4" w:firstLineChars="200"/>
        <w:textAlignment w:val="auto"/>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自合同签订</w:t>
      </w:r>
      <w:r>
        <w:rPr>
          <w:rFonts w:hint="eastAsia" w:eastAsia="方正仿宋简体" w:cs="Times New Roman"/>
          <w:b w:val="0"/>
          <w:bCs w:val="0"/>
          <w:snapToGrid w:val="0"/>
          <w:color w:val="000000"/>
          <w:spacing w:val="1"/>
          <w:kern w:val="0"/>
          <w:position w:val="1"/>
          <w:sz w:val="32"/>
          <w:szCs w:val="32"/>
          <w:lang w:val="en-US" w:eastAsia="zh-CN" w:bidi="ar-SA"/>
        </w:rPr>
        <w:t>之日</w:t>
      </w: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起</w:t>
      </w:r>
      <w:r>
        <w:rPr>
          <w:rFonts w:hint="eastAsia" w:eastAsia="方正仿宋简体" w:cs="Times New Roman"/>
          <w:b w:val="0"/>
          <w:bCs w:val="0"/>
          <w:snapToGrid w:val="0"/>
          <w:color w:val="000000"/>
          <w:spacing w:val="1"/>
          <w:kern w:val="0"/>
          <w:position w:val="1"/>
          <w:sz w:val="32"/>
          <w:szCs w:val="32"/>
          <w:lang w:val="en-US" w:eastAsia="zh-CN" w:bidi="ar-SA"/>
        </w:rPr>
        <w:t>10</w:t>
      </w:r>
      <w:r>
        <w:rPr>
          <w:rFonts w:hint="default" w:ascii="Times New Roman" w:hAnsi="Times New Roman" w:eastAsia="方正仿宋简体" w:cs="Times New Roman"/>
          <w:b w:val="0"/>
          <w:bCs w:val="0"/>
          <w:spacing w:val="-4"/>
          <w:position w:val="1"/>
          <w:sz w:val="32"/>
          <w:szCs w:val="32"/>
          <w:lang w:val="en-US" w:eastAsia="zh-CN"/>
        </w:rPr>
        <w:t>个日历天</w:t>
      </w:r>
      <w:r>
        <w:rPr>
          <w:rFonts w:hint="eastAsia" w:eastAsia="方正仿宋简体" w:cs="Times New Roman"/>
          <w:b w:val="0"/>
          <w:bCs w:val="0"/>
          <w:spacing w:val="-4"/>
          <w:position w:val="1"/>
          <w:sz w:val="32"/>
          <w:szCs w:val="32"/>
          <w:lang w:val="en-US" w:eastAsia="zh-CN"/>
        </w:rPr>
        <w:t>。</w:t>
      </w:r>
    </w:p>
    <w:p w14:paraId="14AD865A">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第四条</w:t>
      </w:r>
      <w:r>
        <w:rPr>
          <w:rFonts w:hint="eastAsia" w:ascii="黑体" w:hAnsi="黑体" w:eastAsia="黑体" w:cs="黑体"/>
          <w:b w:val="0"/>
          <w:bCs w:val="0"/>
          <w:sz w:val="32"/>
          <w:szCs w:val="32"/>
          <w:lang w:val="en-US" w:eastAsia="zh-CN"/>
        </w:rPr>
        <w:t xml:space="preserve">  付款方式</w:t>
      </w:r>
    </w:p>
    <w:p w14:paraId="4CADD588">
      <w:pPr>
        <w:keepNext w:val="0"/>
        <w:keepLines w:val="0"/>
        <w:pageBreakBefore w:val="0"/>
        <w:widowControl w:val="0"/>
        <w:kinsoku/>
        <w:wordWrap/>
        <w:overflowPunct/>
        <w:topLinePunct w:val="0"/>
        <w:autoSpaceDE/>
        <w:autoSpaceDN/>
        <w:bidi w:val="0"/>
        <w:adjustRightInd/>
        <w:spacing w:line="580" w:lineRule="exact"/>
        <w:ind w:firstLine="648" w:firstLineChars="200"/>
        <w:textAlignment w:val="auto"/>
        <w:rPr>
          <w:rFonts w:hint="eastAsia" w:ascii="Times New Roman" w:hAnsi="Times New Roman" w:eastAsia="方正仿宋简体" w:cs="Times New Roman"/>
          <w:b w:val="0"/>
          <w:bCs w:val="0"/>
          <w:spacing w:val="2"/>
          <w:position w:val="1"/>
          <w:sz w:val="32"/>
          <w:szCs w:val="32"/>
          <w:u w:val="none"/>
          <w:lang w:val="en-US" w:eastAsia="zh-CN"/>
        </w:rPr>
      </w:pP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安装完成并经</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验收合格后支付至合同总金额的</w:t>
      </w:r>
      <w:r>
        <w:rPr>
          <w:rFonts w:hint="eastAsia" w:eastAsia="方正仿宋简体" w:cs="Times New Roman"/>
          <w:b w:val="0"/>
          <w:bCs w:val="0"/>
          <w:spacing w:val="2"/>
          <w:position w:val="1"/>
          <w:sz w:val="32"/>
          <w:szCs w:val="32"/>
          <w:u w:val="none"/>
          <w:lang w:val="en-US" w:eastAsia="zh-CN"/>
        </w:rPr>
        <w:t>95</w:t>
      </w:r>
      <w:r>
        <w:rPr>
          <w:rFonts w:hint="eastAsia" w:ascii="Times New Roman" w:hAnsi="Times New Roman" w:eastAsia="方正仿宋简体" w:cs="Times New Roman"/>
          <w:b w:val="0"/>
          <w:bCs w:val="0"/>
          <w:spacing w:val="2"/>
          <w:position w:val="1"/>
          <w:sz w:val="32"/>
          <w:szCs w:val="32"/>
          <w:u w:val="none"/>
          <w:lang w:val="en-US" w:eastAsia="zh-CN"/>
        </w:rPr>
        <w:t>%，</w:t>
      </w:r>
      <w:r>
        <w:rPr>
          <w:rFonts w:hint="eastAsia" w:eastAsia="方正仿宋简体" w:cs="Times New Roman"/>
          <w:b w:val="0"/>
          <w:bCs w:val="0"/>
          <w:spacing w:val="2"/>
          <w:position w:val="1"/>
          <w:sz w:val="32"/>
          <w:szCs w:val="32"/>
          <w:u w:val="none"/>
          <w:lang w:val="en-US" w:eastAsia="zh-CN"/>
        </w:rPr>
        <w:t>自验收之日起满两年后无息支付剩余金额。乙方</w:t>
      </w:r>
      <w:r>
        <w:rPr>
          <w:rFonts w:hint="eastAsia" w:ascii="Times New Roman" w:hAnsi="Times New Roman" w:eastAsia="方正仿宋简体" w:cs="Times New Roman"/>
          <w:b w:val="0"/>
          <w:bCs w:val="0"/>
          <w:spacing w:val="2"/>
          <w:position w:val="1"/>
          <w:sz w:val="32"/>
          <w:szCs w:val="32"/>
          <w:u w:val="none"/>
          <w:lang w:val="en-US" w:eastAsia="zh-CN"/>
        </w:rPr>
        <w:t>须在付款前向</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出具合法、有效、足额的增值税专用发票及凭证资料，</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在收到</w:t>
      </w: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完整的请款资料后30个工作日内进行支付。逾期提交的，</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有权延期支付且不承担违约责任。</w:t>
      </w:r>
    </w:p>
    <w:p w14:paraId="5CF98425">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保修</w:t>
      </w:r>
      <w:r>
        <w:rPr>
          <w:rFonts w:hint="eastAsia" w:ascii="黑体" w:hAnsi="黑体" w:eastAsia="黑体" w:cs="黑体"/>
          <w:b w:val="0"/>
          <w:bCs w:val="0"/>
          <w:sz w:val="32"/>
          <w:szCs w:val="32"/>
        </w:rPr>
        <w:t>服务</w:t>
      </w:r>
    </w:p>
    <w:p w14:paraId="4CC663C5">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质保期内维保服务由乙方负责。</w:t>
      </w:r>
    </w:p>
    <w:p w14:paraId="4394212A">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方正仿宋简体" w:cs="Times New Roman"/>
          <w:color w:val="000000"/>
          <w:kern w:val="2"/>
          <w:sz w:val="32"/>
          <w:szCs w:val="32"/>
          <w:u w:val="none"/>
          <w:lang w:val="en-US" w:eastAsia="zh-CN" w:bidi="ar-SA"/>
        </w:rPr>
      </w:pPr>
      <w:r>
        <w:rPr>
          <w:rFonts w:hint="eastAsia" w:eastAsia="方正仿宋简体" w:cs="Times New Roman"/>
          <w:color w:val="000000"/>
          <w:kern w:val="2"/>
          <w:sz w:val="32"/>
          <w:szCs w:val="32"/>
          <w:lang w:val="en-US" w:eastAsia="zh-CN" w:bidi="ar-SA"/>
        </w:rPr>
        <w:t>2.联系人：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；联系电话</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w:t>
      </w:r>
    </w:p>
    <w:p w14:paraId="1771E72C">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无产权瑕疵条款</w:t>
      </w:r>
    </w:p>
    <w:p w14:paraId="7D3985C8">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color w:val="000000"/>
          <w:kern w:val="2"/>
          <w:sz w:val="32"/>
          <w:szCs w:val="32"/>
          <w:lang w:val="en-US" w:eastAsia="zh-CN" w:bidi="ar-SA"/>
        </w:rPr>
        <w:t>乙方保证所提供的产品的所有权完全属于乙方且无任何抵押、查封等产权瑕疵。如有产权瑕疵的，视为乙方违约。乙方应负担由此而产生的一切损失。</w:t>
      </w:r>
    </w:p>
    <w:p w14:paraId="58D3662E">
      <w:pPr>
        <w:keepNext w:val="0"/>
        <w:keepLines w:val="0"/>
        <w:pageBreakBefore w:val="0"/>
        <w:widowControl w:val="0"/>
        <w:numPr>
          <w:ilvl w:val="0"/>
          <w:numId w:val="0"/>
        </w:numPr>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第七条</w:t>
      </w:r>
      <w:r>
        <w:rPr>
          <w:rFonts w:hint="eastAsia" w:ascii="黑体" w:hAnsi="黑体" w:eastAsia="黑体" w:cs="黑体"/>
          <w:b w:val="0"/>
          <w:bCs w:val="0"/>
          <w:color w:val="auto"/>
          <w:sz w:val="32"/>
          <w:szCs w:val="32"/>
        </w:rPr>
        <w:t xml:space="preserve">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违约责任</w:t>
      </w:r>
    </w:p>
    <w:p w14:paraId="52547BEC">
      <w:pPr>
        <w:keepNext w:val="0"/>
        <w:keepLines w:val="0"/>
        <w:pageBreakBefore w:val="0"/>
        <w:widowControl w:val="0"/>
        <w:kinsoku/>
        <w:wordWrap/>
        <w:overflowPunct/>
        <w:topLinePunct w:val="0"/>
        <w:autoSpaceDE/>
        <w:autoSpaceDN/>
        <w:bidi w:val="0"/>
        <w:adjustRightInd/>
        <w:snapToGrid w:val="0"/>
        <w:spacing w:before="211" w:beforeLines="50" w:line="580" w:lineRule="exact"/>
        <w:ind w:firstLine="480"/>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eastAsia="zh-CN"/>
        </w:rPr>
        <w:t>1.</w:t>
      </w:r>
      <w:r>
        <w:rPr>
          <w:rFonts w:hint="default" w:ascii="Times New Roman" w:hAnsi="Times New Roman" w:eastAsia="方正仿宋简体" w:cs="Times New Roman"/>
          <w:sz w:val="32"/>
          <w:szCs w:val="32"/>
        </w:rPr>
        <w:t>违约方不履行本合同项下全部或者部分义务，守约方在发现该情况后，可立即以书面形式要求违约方更正，违约方应立刻更正。违约方若未按守约方要求及合理期限更正的，守约方有权以书面形式通知违约方解除本合同，由此造成守约方损失的，违约方应承担全部赔偿责任。</w:t>
      </w:r>
    </w:p>
    <w:p w14:paraId="2F3F20D9">
      <w:pPr>
        <w:keepNext w:val="0"/>
        <w:keepLines w:val="0"/>
        <w:pageBreakBefore w:val="0"/>
        <w:widowControl w:val="0"/>
        <w:kinsoku/>
        <w:wordWrap/>
        <w:overflowPunct/>
        <w:topLinePunct w:val="0"/>
        <w:autoSpaceDE/>
        <w:autoSpaceDN/>
        <w:bidi w:val="0"/>
        <w:adjustRightInd/>
        <w:snapToGrid w:val="0"/>
        <w:spacing w:line="580" w:lineRule="exact"/>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val="en-US" w:eastAsia="zh-CN"/>
        </w:rPr>
        <w:t>2.</w:t>
      </w:r>
      <w:r>
        <w:rPr>
          <w:rFonts w:hint="default" w:ascii="Times New Roman" w:hAnsi="Times New Roman" w:eastAsia="方正仿宋简体" w:cs="Times New Roman"/>
          <w:sz w:val="32"/>
          <w:szCs w:val="32"/>
        </w:rPr>
        <w:t>品种、规格、质量、安装等不符合本合同规定时</w:t>
      </w:r>
      <w:r>
        <w:rPr>
          <w:rFonts w:hint="eastAsia" w:eastAsia="方正仿宋简体" w:cs="Times New Roman"/>
          <w:sz w:val="32"/>
          <w:szCs w:val="32"/>
          <w:lang w:val="en-US" w:eastAsia="zh-CN"/>
        </w:rPr>
        <w:t>视为违约</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甲方有权终止合同</w:t>
      </w:r>
      <w:r>
        <w:rPr>
          <w:rFonts w:hint="default" w:ascii="Times New Roman" w:hAnsi="Times New Roman" w:eastAsia="方正仿宋简体" w:cs="Times New Roman"/>
          <w:sz w:val="32"/>
          <w:szCs w:val="32"/>
        </w:rPr>
        <w:t>，由此而造成</w:t>
      </w:r>
      <w:r>
        <w:rPr>
          <w:rFonts w:hint="eastAsia" w:ascii="Times New Roman" w:hAnsi="Times New Roman" w:eastAsia="方正仿宋简体" w:cs="Times New Roman"/>
          <w:sz w:val="32"/>
          <w:szCs w:val="32"/>
          <w:lang w:val="en-US" w:eastAsia="zh-CN"/>
        </w:rPr>
        <w:t>的损失由乙方承担</w:t>
      </w:r>
      <w:r>
        <w:rPr>
          <w:rFonts w:hint="default" w:ascii="Times New Roman" w:hAnsi="Times New Roman" w:eastAsia="方正仿宋简体" w:cs="Times New Roman"/>
          <w:sz w:val="32"/>
          <w:szCs w:val="32"/>
        </w:rPr>
        <w:t>。</w:t>
      </w:r>
    </w:p>
    <w:p w14:paraId="264288F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contextualSpacing/>
        <w:textAlignment w:val="auto"/>
        <w:rPr>
          <w:rFonts w:hint="eastAsia"/>
        </w:rPr>
      </w:pPr>
      <w:r>
        <w:rPr>
          <w:rFonts w:hint="eastAsia" w:eastAsia="方正仿宋简体" w:cs="Times New Roman"/>
          <w:sz w:val="32"/>
          <w:szCs w:val="32"/>
          <w:lang w:val="en-US" w:eastAsia="zh-CN"/>
        </w:rPr>
        <w:t>3.</w:t>
      </w:r>
      <w:r>
        <w:rPr>
          <w:rFonts w:hint="default" w:ascii="Times New Roman" w:hAnsi="Times New Roman" w:eastAsia="方正仿宋简体" w:cs="Times New Roman"/>
          <w:sz w:val="32"/>
          <w:szCs w:val="32"/>
        </w:rPr>
        <w:t>由于</w:t>
      </w:r>
      <w:r>
        <w:rPr>
          <w:rFonts w:hint="eastAsia" w:ascii="Times New Roman" w:hAnsi="Times New Roman" w:eastAsia="方正仿宋简体" w:cs="Times New Roman"/>
          <w:sz w:val="32"/>
          <w:szCs w:val="32"/>
          <w:lang w:val="en-US" w:eastAsia="zh-CN"/>
        </w:rPr>
        <w:t>甲方</w:t>
      </w:r>
      <w:r>
        <w:rPr>
          <w:rFonts w:hint="default" w:ascii="Times New Roman" w:hAnsi="Times New Roman" w:eastAsia="方正仿宋简体" w:cs="Times New Roman"/>
          <w:sz w:val="32"/>
          <w:szCs w:val="32"/>
        </w:rPr>
        <w:t>的原因要求延期</w:t>
      </w:r>
      <w:r>
        <w:rPr>
          <w:rFonts w:hint="eastAsia" w:ascii="Times New Roman" w:hAnsi="Times New Roman" w:eastAsia="方正仿宋简体" w:cs="Times New Roman"/>
          <w:sz w:val="32"/>
          <w:szCs w:val="32"/>
          <w:lang w:val="en-US" w:eastAsia="zh-CN"/>
        </w:rPr>
        <w:t>安装</w:t>
      </w:r>
      <w:r>
        <w:rPr>
          <w:rFonts w:hint="default" w:ascii="Times New Roman" w:hAnsi="Times New Roman" w:eastAsia="方正仿宋简体" w:cs="Times New Roman"/>
          <w:sz w:val="32"/>
          <w:szCs w:val="32"/>
        </w:rPr>
        <w:t>时，应及时通知</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的</w:t>
      </w:r>
      <w:r>
        <w:rPr>
          <w:rFonts w:hint="eastAsia" w:eastAsia="方正仿宋简体" w:cs="Times New Roman"/>
          <w:sz w:val="32"/>
          <w:szCs w:val="32"/>
          <w:lang w:val="en-US" w:eastAsia="zh-CN"/>
        </w:rPr>
        <w:t>安装</w:t>
      </w:r>
      <w:r>
        <w:rPr>
          <w:rFonts w:hint="eastAsia" w:ascii="Times New Roman" w:hAnsi="Times New Roman" w:eastAsia="方正仿宋简体" w:cs="Times New Roman"/>
          <w:sz w:val="32"/>
          <w:szCs w:val="32"/>
          <w:lang w:val="en-US" w:eastAsia="zh-CN"/>
        </w:rPr>
        <w:t>验收</w:t>
      </w:r>
      <w:r>
        <w:rPr>
          <w:rFonts w:hint="default" w:ascii="Times New Roman" w:hAnsi="Times New Roman" w:eastAsia="方正仿宋简体" w:cs="Times New Roman"/>
          <w:sz w:val="32"/>
          <w:szCs w:val="32"/>
        </w:rPr>
        <w:t>时间亦相应延期。</w:t>
      </w:r>
    </w:p>
    <w:p w14:paraId="74CAEDF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八</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 xml:space="preserve"> 不可抗力事件处理</w:t>
      </w:r>
    </w:p>
    <w:p w14:paraId="5A754D4E">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在合同有效期内，任何一方因不可抗力事件导致不能履行合同，则合同履行期可延长，其延长期与不可抗力影响期相同。</w:t>
      </w:r>
    </w:p>
    <w:p w14:paraId="4544E481">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不可抗力事件发生后，应立即通知对方，并寄送有关权威机构出具的证明。</w:t>
      </w:r>
    </w:p>
    <w:p w14:paraId="3CB63FB6">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eastAsia" w:ascii="Times New Roman" w:hAnsi="Times New Roman" w:eastAsia="方正仿宋简体" w:cs="Times New Roman"/>
          <w:color w:val="000000"/>
          <w:kern w:val="2"/>
          <w:sz w:val="32"/>
          <w:szCs w:val="32"/>
          <w:lang w:val="en-US" w:eastAsia="zh-CN" w:bidi="ar-SA"/>
        </w:rPr>
        <w:t>不可抗力事件延续</w:t>
      </w:r>
      <w:r>
        <w:rPr>
          <w:rFonts w:hint="eastAsia" w:eastAsia="方正仿宋简体" w:cs="Times New Roman"/>
          <w:color w:val="000000"/>
          <w:kern w:val="2"/>
          <w:sz w:val="32"/>
          <w:szCs w:val="32"/>
          <w:lang w:val="en-US" w:eastAsia="zh-CN" w:bidi="ar-SA"/>
        </w:rPr>
        <w:t>10</w:t>
      </w:r>
      <w:r>
        <w:rPr>
          <w:rFonts w:hint="eastAsia" w:ascii="Times New Roman" w:hAnsi="Times New Roman" w:eastAsia="方正仿宋简体" w:cs="Times New Roman"/>
          <w:color w:val="000000"/>
          <w:kern w:val="2"/>
          <w:sz w:val="32"/>
          <w:szCs w:val="32"/>
          <w:lang w:val="en-US" w:eastAsia="zh-CN" w:bidi="ar-SA"/>
        </w:rPr>
        <w:t>天以上，双方应通过友好协商，确定是否继续履行合同。</w:t>
      </w:r>
    </w:p>
    <w:p w14:paraId="3E899ED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九</w:t>
      </w:r>
      <w:r>
        <w:rPr>
          <w:rFonts w:hint="eastAsia" w:ascii="黑体" w:hAnsi="黑体" w:eastAsia="黑体" w:cs="黑体"/>
          <w:b w:val="0"/>
          <w:bCs w:val="0"/>
          <w:sz w:val="32"/>
          <w:szCs w:val="32"/>
        </w:rPr>
        <w:t>条  解决合同纠纷的方式</w:t>
      </w:r>
    </w:p>
    <w:p w14:paraId="5B0EE6A4">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因产品的质量问题发生争议，由质量技术监督部门或其指定的质量鉴定机构进行质量鉴定。产品符合标准的，鉴定费由甲方承担；产品不符合质量标准的，鉴定费由乙方承担。</w:t>
      </w:r>
    </w:p>
    <w:p w14:paraId="0C6D2649">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合同履行期间，若双方发生争议，可协商或由有关部门调解解决，协商或调解不成的，由当事人依法向甲方有管辖权住所地人民法院提起诉讼以维护其合法权益。</w:t>
      </w:r>
    </w:p>
    <w:p w14:paraId="2170A9A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第十条  合同生效及其他</w:t>
      </w:r>
    </w:p>
    <w:p w14:paraId="7C202FCC">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default" w:ascii="Times New Roman" w:hAnsi="Times New Roman" w:eastAsia="方正仿宋简体" w:cs="Times New Roman"/>
          <w:color w:val="000000"/>
          <w:kern w:val="2"/>
          <w:sz w:val="32"/>
          <w:szCs w:val="32"/>
          <w:lang w:val="en-US" w:eastAsia="zh-CN" w:bidi="ar-SA"/>
        </w:rPr>
        <w:t>如有未尽事宜，由双方依法订立补充合同。</w:t>
      </w:r>
    </w:p>
    <w:p w14:paraId="11F2BB82">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default" w:ascii="Times New Roman" w:hAnsi="Times New Roman" w:eastAsia="方正仿宋简体" w:cs="Times New Roman"/>
          <w:color w:val="000000"/>
          <w:kern w:val="2"/>
          <w:sz w:val="32"/>
          <w:szCs w:val="32"/>
          <w:lang w:val="en-US" w:eastAsia="zh-CN" w:bidi="ar-SA"/>
        </w:rPr>
        <w:t>合同经双方法定代表人或授权委托代理人签字并加盖单位公章后生效。</w:t>
      </w:r>
    </w:p>
    <w:p w14:paraId="78313AE8">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default" w:ascii="Times New Roman" w:hAnsi="Times New Roman" w:eastAsia="方正仿宋简体" w:cs="Times New Roman"/>
          <w:color w:val="000000"/>
          <w:kern w:val="2"/>
          <w:sz w:val="32"/>
          <w:szCs w:val="32"/>
          <w:lang w:val="en-US" w:eastAsia="zh-CN" w:bidi="ar-SA"/>
        </w:rPr>
        <w:t>本合同一式</w:t>
      </w:r>
      <w:r>
        <w:rPr>
          <w:rFonts w:hint="eastAsia" w:eastAsia="方正仿宋简体" w:cs="Times New Roman"/>
          <w:color w:val="000000"/>
          <w:kern w:val="2"/>
          <w:sz w:val="32"/>
          <w:szCs w:val="32"/>
          <w:lang w:val="en-US" w:eastAsia="zh-CN" w:bidi="ar-SA"/>
        </w:rPr>
        <w:t>肆份</w:t>
      </w:r>
      <w:r>
        <w:rPr>
          <w:rFonts w:hint="default" w:ascii="Times New Roman" w:hAnsi="Times New Roman" w:eastAsia="方正仿宋简体" w:cs="Times New Roman"/>
          <w:color w:val="000000"/>
          <w:kern w:val="2"/>
          <w:sz w:val="32"/>
          <w:szCs w:val="32"/>
          <w:lang w:val="en-US" w:eastAsia="zh-CN" w:bidi="ar-SA"/>
        </w:rPr>
        <w:t>，自双方签章之日起</w:t>
      </w:r>
      <w:r>
        <w:rPr>
          <w:rFonts w:hint="eastAsia" w:ascii="Times New Roman" w:hAnsi="Times New Roman" w:eastAsia="方正仿宋简体" w:cs="Times New Roman"/>
          <w:color w:val="000000"/>
          <w:kern w:val="2"/>
          <w:sz w:val="32"/>
          <w:szCs w:val="32"/>
          <w:lang w:val="en-US" w:eastAsia="zh-CN" w:bidi="ar-SA"/>
        </w:rPr>
        <w:t>生</w:t>
      </w:r>
      <w:r>
        <w:rPr>
          <w:rFonts w:hint="default" w:ascii="Times New Roman" w:hAnsi="Times New Roman" w:eastAsia="方正仿宋简体" w:cs="Times New Roman"/>
          <w:color w:val="000000"/>
          <w:kern w:val="2"/>
          <w:sz w:val="32"/>
          <w:szCs w:val="32"/>
          <w:lang w:val="en-US" w:eastAsia="zh-CN" w:bidi="ar-SA"/>
        </w:rPr>
        <w:t>效。甲方</w:t>
      </w:r>
      <w:r>
        <w:rPr>
          <w:rFonts w:hint="eastAsia" w:ascii="Times New Roman" w:hAnsi="Times New Roman" w:eastAsia="方正仿宋简体" w:cs="Times New Roman"/>
          <w:color w:val="000000"/>
          <w:kern w:val="2"/>
          <w:sz w:val="32"/>
          <w:szCs w:val="32"/>
          <w:lang w:val="en-US" w:eastAsia="zh-CN" w:bidi="ar-SA"/>
        </w:rPr>
        <w:t>叁</w:t>
      </w:r>
      <w:r>
        <w:rPr>
          <w:rFonts w:hint="default" w:ascii="Times New Roman" w:hAnsi="Times New Roman" w:eastAsia="方正仿宋简体" w:cs="Times New Roman"/>
          <w:color w:val="000000"/>
          <w:kern w:val="2"/>
          <w:sz w:val="32"/>
          <w:szCs w:val="32"/>
          <w:lang w:val="en-US" w:eastAsia="zh-CN" w:bidi="ar-SA"/>
        </w:rPr>
        <w:t>份，乙方</w:t>
      </w:r>
      <w:r>
        <w:rPr>
          <w:rFonts w:hint="eastAsia" w:ascii="Times New Roman" w:hAnsi="Times New Roman" w:eastAsia="方正仿宋简体" w:cs="Times New Roman"/>
          <w:color w:val="000000"/>
          <w:kern w:val="2"/>
          <w:sz w:val="32"/>
          <w:szCs w:val="32"/>
          <w:lang w:val="en-US" w:eastAsia="zh-CN" w:bidi="ar-SA"/>
        </w:rPr>
        <w:t>壹</w:t>
      </w:r>
      <w:r>
        <w:rPr>
          <w:rFonts w:hint="default" w:ascii="Times New Roman" w:hAnsi="Times New Roman" w:eastAsia="方正仿宋简体" w:cs="Times New Roman"/>
          <w:color w:val="000000"/>
          <w:kern w:val="2"/>
          <w:sz w:val="32"/>
          <w:szCs w:val="32"/>
          <w:lang w:val="en-US" w:eastAsia="zh-CN" w:bidi="ar-SA"/>
        </w:rPr>
        <w:t>份，具有同等法律效力。</w:t>
      </w:r>
    </w:p>
    <w:p w14:paraId="15F4B2E5">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color w:val="000000"/>
          <w:kern w:val="2"/>
          <w:sz w:val="32"/>
          <w:szCs w:val="32"/>
          <w:lang w:val="en-US" w:eastAsia="zh-CN" w:bidi="ar-SA"/>
        </w:rPr>
        <w:t>（以下无正文）</w:t>
      </w:r>
    </w:p>
    <w:p w14:paraId="1D5EE8D9">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p>
    <w:p w14:paraId="56B60CA6">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p>
    <w:p w14:paraId="5C18654F">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甲</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方</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盖章</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 xml:space="preserve">       乙    方</w:t>
      </w:r>
      <w:r>
        <w:rPr>
          <w:rFonts w:hint="eastAsia" w:ascii="方正仿宋简体" w:hAnsi="方正仿宋简体" w:eastAsia="方正仿宋简体" w:cs="方正仿宋简体"/>
          <w:sz w:val="32"/>
          <w:szCs w:val="32"/>
        </w:rPr>
        <w:t xml:space="preserve">（盖章）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法定代表人（授权代表）：        法定代表人（授权代表）：</w:t>
      </w:r>
    </w:p>
    <w:p w14:paraId="1316A29E">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地    址：                     地    址：</w:t>
      </w:r>
    </w:p>
    <w:p w14:paraId="2B8B57F3">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开户银行：                     开户银行：</w:t>
      </w:r>
    </w:p>
    <w:p w14:paraId="773601E7">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                     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w:t>
      </w:r>
    </w:p>
    <w:p w14:paraId="360D1C28">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电    话：                     电    话：</w:t>
      </w:r>
    </w:p>
    <w:p w14:paraId="30437BA9">
      <w:pPr>
        <w:keepNext w:val="0"/>
        <w:keepLines w:val="0"/>
        <w:pageBreakBefore w:val="0"/>
        <w:widowControl w:val="0"/>
        <w:kinsoku/>
        <w:wordWrap/>
        <w:overflowPunct/>
        <w:topLinePunct w:val="0"/>
        <w:autoSpaceDE/>
        <w:autoSpaceDN/>
        <w:bidi w:val="0"/>
        <w:adjustRightInd/>
        <w:spacing w:line="580" w:lineRule="exact"/>
        <w:jc w:val="left"/>
        <w:textAlignment w:val="auto"/>
      </w:pP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日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日</w:t>
      </w:r>
    </w:p>
    <w:p w14:paraId="095F276E"/>
    <w:sectPr>
      <w:footerReference r:id="rId6" w:type="default"/>
      <w:pgSz w:w="11900" w:h="16840"/>
      <w:pgMar w:top="1440" w:right="1800" w:bottom="1440" w:left="1800" w:header="851" w:footer="992" w:gutter="0"/>
      <w:pgNumType w:fmt="decimal"/>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9F8C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E83FC6">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39E83FC6">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77CBA">
    <w:pPr>
      <w:pStyle w:val="5"/>
      <w:framePr w:wrap="around" w:vAnchor="text" w:hAnchor="margin" w:xAlign="center" w:y="1"/>
      <w:rPr>
        <w:rStyle w:val="9"/>
      </w:rPr>
    </w:pPr>
    <w:r>
      <w:fldChar w:fldCharType="begin"/>
    </w:r>
    <w:r>
      <w:rPr>
        <w:rStyle w:val="9"/>
      </w:rPr>
      <w:instrText xml:space="preserve">PAGE  </w:instrText>
    </w:r>
    <w:r>
      <w:fldChar w:fldCharType="end"/>
    </w:r>
  </w:p>
  <w:p w14:paraId="216EA77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1725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A61E3B">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KHrXp80BAACpAwAADgAAAAAAAAABACAAAAAeAQAAZHJzL2Uy&#10;b0RvYy54bWxQSwUGAAAAAAYABgBZAQAAXQUAAAAA&#10;">
              <v:fill on="f" focussize="0,0"/>
              <v:stroke on="f"/>
              <v:imagedata o:title=""/>
              <o:lock v:ext="edit" aspectratio="f"/>
              <v:textbox inset="0mm,0mm,0mm,0mm" style="mso-fit-shape-to-text:t;">
                <w:txbxContent>
                  <w:p w14:paraId="31A61E3B">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D2B98">
    <w:pPr>
      <w:spacing w:line="360" w:lineRule="aut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5145B"/>
    <w:rsid w:val="1DE3579B"/>
    <w:rsid w:val="1F733B6E"/>
    <w:rsid w:val="212339B6"/>
    <w:rsid w:val="58FA1B64"/>
    <w:rsid w:val="638E0EB9"/>
    <w:rsid w:val="695A13AF"/>
    <w:rsid w:val="73880040"/>
    <w:rsid w:val="7F8C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spacing w:after="120"/>
    </w:p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kern w:val="0"/>
      <w:sz w:val="18"/>
      <w:szCs w:val="18"/>
    </w:rPr>
  </w:style>
  <w:style w:type="paragraph" w:styleId="6">
    <w:name w:val="Body Text First Indent 2"/>
    <w:basedOn w:val="4"/>
    <w:next w:val="1"/>
    <w:qFormat/>
    <w:uiPriority w:val="0"/>
    <w:pPr>
      <w:ind w:firstLine="640" w:firstLineChars="200"/>
    </w:pPr>
  </w:style>
  <w:style w:type="character" w:styleId="9">
    <w:name w:val="page number"/>
    <w:qFormat/>
    <w:uiPriority w:val="0"/>
  </w:style>
  <w:style w:type="paragraph" w:customStyle="1" w:styleId="10">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2431</Words>
  <Characters>2570</Characters>
  <Lines>0</Lines>
  <Paragraphs>0</Paragraphs>
  <TotalTime>0</TotalTime>
  <ScaleCrop>false</ScaleCrop>
  <LinksUpToDate>false</LinksUpToDate>
  <CharactersWithSpaces>2899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2026-09-23T07:40:00Z</dcterms:created>
  <dc:creator>HP</dc:creator>
  <cp:lastModifiedBy>梁东城</cp:lastModifiedBy>
  <dcterms:modified xsi:type="dcterms:W3CDTF">2026-10-08T00:32:19Z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eyJoZGlkIjoiNDk4MGFiYzA3MGMzMTMwYmMzZjliNDE4ZTliZWU2NGUiLCJ1c2VySWQiOiIzNDUzODE4MTcifQ==</vt:lpwstr>
  </property>
  <property fmtid="{D5CDD505-2E9C-101B-9397-08002B2CF9AE}" pid="4" name="ICV">
    <vt:lpwstr>D697AA681BD6459EBA064A08CE55A245_12</vt:lpwstr>
  </property>
</Properties>
</file>