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23516">
      <w:pPr>
        <w:pStyle w:val="2"/>
        <w:pageBreakBefore w:val="0"/>
        <w:kinsoku/>
        <w:wordWrap/>
        <w:overflowPunct/>
        <w:topLinePunct w:val="0"/>
        <w:autoSpaceDE/>
        <w:autoSpaceDN/>
        <w:bidi w:val="0"/>
        <w:spacing w:before="0" w:after="0" w:line="360" w:lineRule="auto"/>
        <w:jc w:val="both"/>
        <w:rPr>
          <w:rFonts w:hint="eastAsia" w:ascii="宋体" w:hAnsi="宋体" w:eastAsia="宋体" w:cs="宋体"/>
          <w:b/>
          <w:bCs/>
          <w:sz w:val="32"/>
          <w:szCs w:val="32"/>
        </w:rPr>
      </w:pPr>
    </w:p>
    <w:p w14:paraId="64939D8E">
      <w:pPr>
        <w:pageBreakBefore w:val="0"/>
        <w:widowControl w:val="0"/>
        <w:kinsoku/>
        <w:wordWrap/>
        <w:overflowPunct/>
        <w:topLinePunct w:val="0"/>
        <w:autoSpaceDE/>
        <w:autoSpaceDN/>
        <w:bidi w:val="0"/>
        <w:adjustRightInd/>
        <w:snapToGrid/>
        <w:spacing w:line="360" w:lineRule="auto"/>
        <w:ind w:firstLineChars="0"/>
        <w:jc w:val="right"/>
        <w:textAlignment w:val="auto"/>
        <w:rPr>
          <w:rFonts w:hint="eastAsia" w:ascii="宋体" w:hAnsi="宋体" w:eastAsia="宋体"/>
          <w:b/>
          <w:color w:val="auto"/>
          <w:sz w:val="27"/>
          <w:u w:val="single"/>
        </w:rPr>
      </w:pPr>
      <w:bookmarkStart w:id="0" w:name="_Hlt101846155"/>
      <w:bookmarkEnd w:id="0"/>
      <w:r>
        <w:rPr>
          <w:rFonts w:hint="eastAsia" w:ascii="宋体" w:hAnsi="宋体"/>
          <w:b/>
          <w:sz w:val="38"/>
        </w:rPr>
        <w:t xml:space="preserve"> </w:t>
      </w:r>
      <w:r>
        <w:rPr>
          <w:rFonts w:hint="eastAsia" w:ascii="宋体" w:hAnsi="宋体" w:eastAsia="宋体"/>
          <w:b/>
          <w:color w:val="auto"/>
          <w:sz w:val="38"/>
        </w:rPr>
        <w:t xml:space="preserve">  合同编号： </w:t>
      </w:r>
      <w:r>
        <w:rPr>
          <w:rFonts w:hint="eastAsia" w:ascii="宋体" w:hAnsi="宋体" w:eastAsia="宋体"/>
          <w:color w:val="auto"/>
          <w:sz w:val="27"/>
        </w:rPr>
        <w:t xml:space="preserve"> </w:t>
      </w:r>
      <w:r>
        <w:rPr>
          <w:rFonts w:hint="eastAsia" w:ascii="宋体" w:hAnsi="宋体" w:eastAsia="宋体"/>
          <w:b/>
          <w:color w:val="auto"/>
          <w:sz w:val="27"/>
          <w:u w:val="single"/>
        </w:rPr>
        <w:t xml:space="preserve">     </w:t>
      </w:r>
    </w:p>
    <w:p w14:paraId="771D2809">
      <w:pPr>
        <w:pageBreakBefore w:val="0"/>
        <w:widowControl w:val="0"/>
        <w:kinsoku/>
        <w:wordWrap/>
        <w:overflowPunct/>
        <w:topLinePunct w:val="0"/>
        <w:autoSpaceDE/>
        <w:autoSpaceDN/>
        <w:bidi w:val="0"/>
        <w:adjustRightInd/>
        <w:snapToGrid/>
        <w:spacing w:line="360" w:lineRule="auto"/>
        <w:ind w:firstLineChars="0"/>
        <w:jc w:val="righ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p w14:paraId="5F4A90D9">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52"/>
        </w:rPr>
      </w:pPr>
    </w:p>
    <w:p w14:paraId="5EA652A1">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b/>
          <w:color w:val="auto"/>
          <w:sz w:val="52"/>
        </w:rPr>
        <w:t>建设工程监理合同</w:t>
      </w:r>
    </w:p>
    <w:p w14:paraId="52D987B5">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1FBF77E7">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60FD8726">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375927F2">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1559442F">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3EE5E20C">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3843B287">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5F40A4C8">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0D7A2F7F">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0C5B703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tbl>
      <w:tblPr>
        <w:tblStyle w:val="32"/>
        <w:tblW w:w="8295" w:type="dxa"/>
        <w:tblInd w:w="0" w:type="dxa"/>
        <w:tblLayout w:type="autofit"/>
        <w:tblCellMar>
          <w:top w:w="0" w:type="dxa"/>
          <w:left w:w="108" w:type="dxa"/>
          <w:bottom w:w="0" w:type="dxa"/>
          <w:right w:w="108" w:type="dxa"/>
        </w:tblCellMar>
      </w:tblPr>
      <w:tblGrid>
        <w:gridCol w:w="2370"/>
        <w:gridCol w:w="3555"/>
        <w:gridCol w:w="2370"/>
      </w:tblGrid>
      <w:tr w14:paraId="634B4FE7">
        <w:tc>
          <w:tcPr>
            <w:tcW w:w="2370" w:type="dxa"/>
            <w:noWrap w:val="0"/>
            <w:vAlign w:val="center"/>
          </w:tcPr>
          <w:p w14:paraId="5AAE774E">
            <w:pPr>
              <w:pageBreakBefore w:val="0"/>
              <w:widowControl w:val="0"/>
              <w:kinsoku/>
              <w:wordWrap/>
              <w:overflowPunct/>
              <w:topLinePunct w:val="0"/>
              <w:autoSpaceDE/>
              <w:autoSpaceDN/>
              <w:bidi w:val="0"/>
              <w:adjustRightInd/>
              <w:snapToGrid/>
              <w:spacing w:line="360" w:lineRule="auto"/>
              <w:textAlignment w:val="auto"/>
              <w:rPr>
                <w:color w:val="auto"/>
              </w:rPr>
            </w:pPr>
          </w:p>
        </w:tc>
        <w:tc>
          <w:tcPr>
            <w:tcW w:w="3555" w:type="dxa"/>
            <w:noWrap w:val="0"/>
            <w:vAlign w:val="center"/>
          </w:tcPr>
          <w:p w14:paraId="197DC912">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31"/>
              </w:rPr>
            </w:pPr>
            <w:r>
              <w:rPr>
                <w:rFonts w:hint="eastAsia" w:ascii="宋体" w:hAnsi="宋体" w:eastAsia="宋体"/>
                <w:b/>
                <w:color w:val="auto"/>
                <w:sz w:val="31"/>
              </w:rPr>
              <w:t>住房和城乡建设部</w:t>
            </w:r>
          </w:p>
        </w:tc>
        <w:tc>
          <w:tcPr>
            <w:tcW w:w="2370" w:type="dxa"/>
            <w:noWrap w:val="0"/>
            <w:vAlign w:val="center"/>
          </w:tcPr>
          <w:p w14:paraId="5C8D978A">
            <w:pPr>
              <w:pageBreakBefore w:val="0"/>
              <w:widowControl w:val="0"/>
              <w:kinsoku/>
              <w:wordWrap/>
              <w:overflowPunct/>
              <w:topLinePunct w:val="0"/>
              <w:autoSpaceDE/>
              <w:autoSpaceDN/>
              <w:bidi w:val="0"/>
              <w:adjustRightInd/>
              <w:snapToGrid/>
              <w:spacing w:line="360" w:lineRule="auto"/>
              <w:textAlignment w:val="auto"/>
              <w:rPr>
                <w:color w:val="auto"/>
              </w:rPr>
            </w:pPr>
          </w:p>
        </w:tc>
      </w:tr>
      <w:tr w14:paraId="235E4657">
        <w:tblPrEx>
          <w:tblCellMar>
            <w:top w:w="0" w:type="dxa"/>
            <w:left w:w="108" w:type="dxa"/>
            <w:bottom w:w="0" w:type="dxa"/>
            <w:right w:w="108" w:type="dxa"/>
          </w:tblCellMar>
        </w:tblPrEx>
        <w:tc>
          <w:tcPr>
            <w:tcW w:w="2370" w:type="dxa"/>
            <w:noWrap w:val="0"/>
            <w:vAlign w:val="center"/>
          </w:tcPr>
          <w:p w14:paraId="253515B8">
            <w:pPr>
              <w:pageBreakBefore w:val="0"/>
              <w:widowControl w:val="0"/>
              <w:kinsoku/>
              <w:wordWrap/>
              <w:overflowPunct/>
              <w:topLinePunct w:val="0"/>
              <w:autoSpaceDE/>
              <w:autoSpaceDN/>
              <w:bidi w:val="0"/>
              <w:adjustRightInd/>
              <w:snapToGrid/>
              <w:spacing w:line="360" w:lineRule="auto"/>
              <w:textAlignment w:val="auto"/>
              <w:rPr>
                <w:color w:val="auto"/>
              </w:rPr>
            </w:pPr>
          </w:p>
        </w:tc>
        <w:tc>
          <w:tcPr>
            <w:tcW w:w="3555" w:type="dxa"/>
            <w:noWrap w:val="0"/>
            <w:vAlign w:val="center"/>
          </w:tcPr>
          <w:p w14:paraId="72EBAD9E">
            <w:pPr>
              <w:pageBreakBefore w:val="0"/>
              <w:widowControl w:val="0"/>
              <w:kinsoku/>
              <w:wordWrap/>
              <w:overflowPunct/>
              <w:topLinePunct w:val="0"/>
              <w:autoSpaceDE/>
              <w:autoSpaceDN/>
              <w:bidi w:val="0"/>
              <w:adjustRightInd/>
              <w:snapToGrid/>
              <w:spacing w:line="360" w:lineRule="auto"/>
              <w:textAlignment w:val="auto"/>
              <w:rPr>
                <w:color w:val="auto"/>
              </w:rPr>
            </w:pPr>
          </w:p>
        </w:tc>
        <w:tc>
          <w:tcPr>
            <w:tcW w:w="2370" w:type="dxa"/>
            <w:noWrap w:val="0"/>
            <w:vAlign w:val="center"/>
          </w:tcPr>
          <w:p w14:paraId="2DC97E5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b/>
                <w:color w:val="auto"/>
                <w:sz w:val="31"/>
              </w:rPr>
            </w:pPr>
            <w:r>
              <w:rPr>
                <w:rFonts w:hint="eastAsia" w:ascii="宋体" w:hAnsi="宋体" w:eastAsia="宋体"/>
                <w:b/>
                <w:color w:val="auto"/>
                <w:sz w:val="31"/>
              </w:rPr>
              <w:t>制定</w:t>
            </w:r>
          </w:p>
        </w:tc>
      </w:tr>
      <w:tr w14:paraId="0B4F2DF6">
        <w:tblPrEx>
          <w:tblCellMar>
            <w:top w:w="0" w:type="dxa"/>
            <w:left w:w="108" w:type="dxa"/>
            <w:bottom w:w="0" w:type="dxa"/>
            <w:right w:w="108" w:type="dxa"/>
          </w:tblCellMar>
        </w:tblPrEx>
        <w:tc>
          <w:tcPr>
            <w:tcW w:w="2370" w:type="dxa"/>
            <w:noWrap w:val="0"/>
            <w:vAlign w:val="center"/>
          </w:tcPr>
          <w:p w14:paraId="3EC0C14A">
            <w:pPr>
              <w:pageBreakBefore w:val="0"/>
              <w:widowControl w:val="0"/>
              <w:kinsoku/>
              <w:wordWrap/>
              <w:overflowPunct/>
              <w:topLinePunct w:val="0"/>
              <w:autoSpaceDE/>
              <w:autoSpaceDN/>
              <w:bidi w:val="0"/>
              <w:adjustRightInd/>
              <w:snapToGrid/>
              <w:spacing w:line="360" w:lineRule="auto"/>
              <w:textAlignment w:val="auto"/>
              <w:rPr>
                <w:color w:val="auto"/>
              </w:rPr>
            </w:pPr>
          </w:p>
        </w:tc>
        <w:tc>
          <w:tcPr>
            <w:tcW w:w="3555" w:type="dxa"/>
            <w:noWrap w:val="0"/>
            <w:vAlign w:val="center"/>
          </w:tcPr>
          <w:p w14:paraId="3D7727FA">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31"/>
              </w:rPr>
            </w:pPr>
            <w:r>
              <w:rPr>
                <w:rFonts w:hint="eastAsia" w:ascii="宋体" w:hAnsi="宋体" w:eastAsia="宋体"/>
                <w:b/>
                <w:color w:val="auto"/>
                <w:sz w:val="31"/>
              </w:rPr>
              <w:t>国家工商行政管理总局</w:t>
            </w:r>
          </w:p>
        </w:tc>
        <w:tc>
          <w:tcPr>
            <w:tcW w:w="2370" w:type="dxa"/>
            <w:noWrap w:val="0"/>
            <w:vAlign w:val="center"/>
          </w:tcPr>
          <w:p w14:paraId="2CB3ACF6">
            <w:pPr>
              <w:pageBreakBefore w:val="0"/>
              <w:widowControl w:val="0"/>
              <w:kinsoku/>
              <w:wordWrap/>
              <w:overflowPunct/>
              <w:topLinePunct w:val="0"/>
              <w:autoSpaceDE/>
              <w:autoSpaceDN/>
              <w:bidi w:val="0"/>
              <w:adjustRightInd/>
              <w:snapToGrid/>
              <w:spacing w:line="360" w:lineRule="auto"/>
              <w:textAlignment w:val="auto"/>
              <w:rPr>
                <w:color w:val="auto"/>
              </w:rPr>
            </w:pPr>
          </w:p>
        </w:tc>
      </w:tr>
    </w:tbl>
    <w:p w14:paraId="5A213964">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436111D0">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43"/>
        </w:rPr>
      </w:pPr>
      <w:r>
        <w:rPr>
          <w:color w:val="auto"/>
        </w:rPr>
        <w:br w:type="page"/>
      </w:r>
    </w:p>
    <w:p w14:paraId="70269F1F">
      <w:pPr>
        <w:pStyle w:val="3"/>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b/>
          <w:color w:val="auto"/>
          <w:sz w:val="31"/>
        </w:rPr>
      </w:pPr>
      <w:r>
        <w:rPr>
          <w:rFonts w:hint="eastAsia" w:ascii="宋体" w:hAnsi="宋体" w:eastAsia="宋体"/>
          <w:b/>
          <w:color w:val="auto"/>
          <w:sz w:val="28"/>
        </w:rPr>
        <w:t xml:space="preserve">第一部分 </w:t>
      </w:r>
      <w:r>
        <w:rPr>
          <w:rFonts w:hint="eastAsia" w:ascii="宋体" w:hAnsi="宋体" w:eastAsia="宋体"/>
          <w:b/>
          <w:color w:val="auto"/>
          <w:sz w:val="31"/>
        </w:rPr>
        <w:t xml:space="preserve"> </w:t>
      </w:r>
      <w:r>
        <w:rPr>
          <w:rFonts w:hint="eastAsia" w:ascii="宋体" w:hAnsi="宋体" w:eastAsia="宋体"/>
          <w:b/>
          <w:color w:val="auto"/>
          <w:sz w:val="28"/>
        </w:rPr>
        <w:t xml:space="preserve"> 协议书</w:t>
      </w:r>
    </w:p>
    <w:p w14:paraId="2DB19B0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lang w:val="en-US" w:eastAsia="zh-CN"/>
        </w:rPr>
      </w:pPr>
      <w:r>
        <w:rPr>
          <w:rFonts w:hint="eastAsia" w:ascii="宋体" w:hAnsi="宋体" w:eastAsia="宋体"/>
          <w:b/>
          <w:color w:val="auto"/>
          <w:sz w:val="27"/>
        </w:rPr>
        <w:t xml:space="preserve"> 委托人（全称）： </w:t>
      </w:r>
      <w:r>
        <w:rPr>
          <w:rFonts w:hint="eastAsia" w:ascii="宋体" w:hAnsi="宋体" w:eastAsia="宋体"/>
          <w:b/>
          <w:color w:val="auto"/>
          <w:sz w:val="27"/>
          <w:u w:val="single"/>
          <w:lang w:val="en-US" w:eastAsia="zh-CN"/>
        </w:rPr>
        <w:t xml:space="preserve"> </w:t>
      </w:r>
      <w:r>
        <w:rPr>
          <w:rFonts w:hint="eastAsia" w:ascii="宋体" w:hAnsi="宋体"/>
          <w:b/>
          <w:color w:val="auto"/>
          <w:sz w:val="27"/>
          <w:u w:val="single"/>
          <w:lang w:val="en-US" w:eastAsia="zh-CN"/>
        </w:rPr>
        <w:t xml:space="preserve">   </w:t>
      </w:r>
      <w:r>
        <w:rPr>
          <w:rFonts w:hint="eastAsia" w:ascii="宋体" w:hAnsi="宋体" w:eastAsia="宋体"/>
          <w:b/>
          <w:color w:val="auto"/>
          <w:sz w:val="27"/>
          <w:u w:val="single"/>
          <w:lang w:val="en-US" w:eastAsia="zh-CN"/>
        </w:rPr>
        <w:t>广汉市</w:t>
      </w:r>
      <w:r>
        <w:rPr>
          <w:rFonts w:hint="eastAsia" w:ascii="宋体" w:hAnsi="宋体"/>
          <w:b/>
          <w:color w:val="auto"/>
          <w:sz w:val="27"/>
          <w:u w:val="single"/>
          <w:lang w:val="en-US" w:eastAsia="zh-CN"/>
        </w:rPr>
        <w:t>弘诚金雁宾馆</w:t>
      </w:r>
      <w:r>
        <w:rPr>
          <w:rFonts w:hint="eastAsia" w:ascii="宋体" w:hAnsi="宋体" w:eastAsia="宋体"/>
          <w:b/>
          <w:color w:val="auto"/>
          <w:sz w:val="27"/>
          <w:u w:val="single"/>
          <w:lang w:val="en-US" w:eastAsia="zh-CN"/>
        </w:rPr>
        <w:t>有限</w:t>
      </w:r>
      <w:r>
        <w:rPr>
          <w:rFonts w:hint="eastAsia" w:ascii="宋体" w:hAnsi="宋体"/>
          <w:b/>
          <w:color w:val="auto"/>
          <w:sz w:val="27"/>
          <w:u w:val="single"/>
          <w:lang w:val="en-US" w:eastAsia="zh-CN"/>
        </w:rPr>
        <w:t>责任</w:t>
      </w:r>
      <w:r>
        <w:rPr>
          <w:rFonts w:hint="eastAsia" w:ascii="宋体" w:hAnsi="宋体" w:eastAsia="宋体"/>
          <w:b/>
          <w:color w:val="auto"/>
          <w:sz w:val="27"/>
          <w:u w:val="single"/>
          <w:lang w:val="en-US" w:eastAsia="zh-CN"/>
        </w:rPr>
        <w:t>公司</w:t>
      </w:r>
      <w:r>
        <w:rPr>
          <w:rFonts w:hint="eastAsia" w:ascii="宋体" w:hAnsi="宋体"/>
          <w:b/>
          <w:color w:val="auto"/>
          <w:sz w:val="27"/>
          <w:u w:val="single"/>
          <w:lang w:val="en-US" w:eastAsia="zh-CN"/>
        </w:rPr>
        <w:t xml:space="preserve">     </w:t>
      </w:r>
      <w:r>
        <w:rPr>
          <w:rFonts w:hint="eastAsia" w:ascii="宋体" w:hAnsi="宋体" w:eastAsia="宋体"/>
          <w:b/>
          <w:color w:val="auto"/>
          <w:sz w:val="27"/>
          <w:u w:val="single"/>
          <w:lang w:val="en-US" w:eastAsia="zh-CN"/>
        </w:rPr>
        <w:t xml:space="preserve"> </w:t>
      </w:r>
    </w:p>
    <w:p w14:paraId="5EAEF5F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rPr>
      </w:pPr>
      <w:r>
        <w:rPr>
          <w:rFonts w:hint="eastAsia" w:ascii="宋体" w:hAnsi="宋体" w:eastAsia="宋体"/>
          <w:b/>
          <w:color w:val="auto"/>
          <w:sz w:val="27"/>
        </w:rPr>
        <w:t xml:space="preserve"> 监理人（全称）： </w:t>
      </w:r>
      <w:r>
        <w:rPr>
          <w:rFonts w:hint="eastAsia" w:ascii="宋体" w:hAnsi="宋体" w:eastAsia="宋体"/>
          <w:b/>
          <w:color w:val="auto"/>
          <w:sz w:val="27"/>
          <w:u w:val="single"/>
        </w:rPr>
        <w:t xml:space="preserve">   </w:t>
      </w:r>
      <w:r>
        <w:rPr>
          <w:rFonts w:hint="eastAsia" w:ascii="宋体" w:hAnsi="宋体" w:eastAsia="宋体"/>
          <w:b/>
          <w:color w:val="auto"/>
          <w:sz w:val="27"/>
          <w:u w:val="single"/>
          <w:lang w:val="en-US" w:eastAsia="zh-CN"/>
        </w:rPr>
        <w:t xml:space="preserve">  </w:t>
      </w:r>
      <w:r>
        <w:rPr>
          <w:rFonts w:hint="eastAsia" w:ascii="宋体" w:hAnsi="宋体"/>
          <w:b/>
          <w:color w:val="auto"/>
          <w:sz w:val="27"/>
          <w:u w:val="single"/>
          <w:lang w:val="en-US" w:eastAsia="zh-CN"/>
        </w:rPr>
        <w:t xml:space="preserve">                          </w:t>
      </w:r>
      <w:r>
        <w:rPr>
          <w:rFonts w:hint="eastAsia" w:ascii="宋体" w:hAnsi="宋体" w:eastAsia="宋体"/>
          <w:b/>
          <w:color w:val="auto"/>
          <w:sz w:val="27"/>
          <w:u w:val="single"/>
        </w:rPr>
        <w:t xml:space="preserve">     </w:t>
      </w:r>
    </w:p>
    <w:p w14:paraId="2555016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根据《</w:t>
      </w:r>
      <w:r>
        <w:rPr>
          <w:rFonts w:hint="eastAsia" w:ascii="宋体" w:hAnsi="宋体" w:cs="宋体"/>
          <w:color w:val="auto"/>
          <w:sz w:val="28"/>
          <w:szCs w:val="28"/>
        </w:rPr>
        <w:t>中华人民共和国民</w:t>
      </w:r>
      <w:r>
        <w:rPr>
          <w:rFonts w:hint="eastAsia" w:ascii="宋体" w:hAnsi="宋体" w:cs="宋体"/>
          <w:color w:val="auto"/>
          <w:sz w:val="28"/>
          <w:szCs w:val="28"/>
          <w:lang w:val="en-US" w:eastAsia="zh-CN"/>
        </w:rPr>
        <w:t>法</w:t>
      </w:r>
      <w:r>
        <w:rPr>
          <w:rFonts w:hint="eastAsia" w:ascii="宋体" w:hAnsi="宋体" w:cs="宋体"/>
          <w:color w:val="auto"/>
          <w:sz w:val="28"/>
          <w:szCs w:val="28"/>
        </w:rPr>
        <w:t>典</w:t>
      </w:r>
      <w:r>
        <w:rPr>
          <w:rFonts w:hint="eastAsia" w:ascii="宋体" w:hAnsi="宋体" w:eastAsia="宋体"/>
          <w:color w:val="auto"/>
          <w:sz w:val="27"/>
        </w:rPr>
        <w:t>》</w:t>
      </w:r>
      <w:r>
        <w:rPr>
          <w:rFonts w:hint="eastAsia" w:ascii="宋体" w:hAnsi="宋体"/>
          <w:color w:val="auto"/>
          <w:sz w:val="27"/>
          <w:lang w:eastAsia="zh-CN"/>
        </w:rPr>
        <w:t>、</w:t>
      </w:r>
      <w:r>
        <w:rPr>
          <w:rFonts w:hint="eastAsia" w:ascii="宋体" w:hAnsi="宋体" w:eastAsia="宋体"/>
          <w:color w:val="auto"/>
          <w:sz w:val="27"/>
        </w:rPr>
        <w:t>《中华人民共和国建筑法》及其他有关法律、法规，遵循平等、自愿、公平和诚信的原则，双方就下述工程委托监理与相关服务事项协商一致，订立本合同。</w:t>
      </w:r>
    </w:p>
    <w:p w14:paraId="191F5CAF">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一、工程概况</w:t>
      </w:r>
    </w:p>
    <w:p w14:paraId="1D2ED07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1. 工程名称： </w:t>
      </w:r>
      <w:r>
        <w:rPr>
          <w:rFonts w:hint="eastAsia" w:ascii="宋体" w:hAnsi="宋体"/>
          <w:b/>
          <w:color w:val="auto"/>
          <w:sz w:val="27"/>
          <w:u w:val="single"/>
          <w:lang w:val="en-US" w:eastAsia="zh-CN"/>
        </w:rPr>
        <w:t xml:space="preserve"> 弘诚金雁宾馆品质提升项目  </w:t>
      </w:r>
      <w:r>
        <w:rPr>
          <w:rFonts w:hint="eastAsia" w:ascii="宋体" w:hAnsi="宋体" w:eastAsia="宋体"/>
          <w:color w:val="auto"/>
          <w:sz w:val="27"/>
        </w:rPr>
        <w:t xml:space="preserve"> ；</w:t>
      </w:r>
    </w:p>
    <w:p w14:paraId="129DEBC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 工程地点： </w:t>
      </w:r>
      <w:r>
        <w:rPr>
          <w:rFonts w:hint="eastAsia" w:ascii="宋体" w:hAnsi="宋体" w:eastAsia="宋体" w:cs="宋体"/>
          <w:color w:val="auto"/>
          <w:kern w:val="2"/>
          <w:sz w:val="28"/>
          <w:szCs w:val="36"/>
          <w:u w:val="single"/>
          <w:lang w:val="en-US" w:eastAsia="zh-CN" w:bidi="ar-SA"/>
        </w:rPr>
        <w:t xml:space="preserve">  </w:t>
      </w:r>
      <w:r>
        <w:rPr>
          <w:rFonts w:hint="eastAsia" w:ascii="宋体" w:hAnsi="宋体" w:eastAsia="宋体" w:cs="Times New Roman"/>
          <w:b/>
          <w:color w:val="auto"/>
          <w:sz w:val="27"/>
          <w:u w:val="single"/>
          <w:lang w:val="en-US" w:eastAsia="zh-CN"/>
        </w:rPr>
        <w:t>广汉市</w:t>
      </w:r>
      <w:r>
        <w:rPr>
          <w:rFonts w:hint="eastAsia" w:ascii="宋体" w:hAnsi="宋体" w:eastAsia="宋体" w:cs="宋体"/>
          <w:color w:val="auto"/>
          <w:kern w:val="2"/>
          <w:sz w:val="28"/>
          <w:szCs w:val="36"/>
          <w:u w:val="single"/>
          <w:lang w:val="en-US" w:eastAsia="zh-CN" w:bidi="ar-SA"/>
        </w:rPr>
        <w:t xml:space="preserve">   </w:t>
      </w:r>
      <w:r>
        <w:rPr>
          <w:rFonts w:hint="eastAsia" w:ascii="宋体" w:hAnsi="宋体" w:eastAsia="宋体"/>
          <w:color w:val="auto"/>
          <w:sz w:val="27"/>
        </w:rPr>
        <w:t>；</w:t>
      </w:r>
    </w:p>
    <w:p w14:paraId="2B4D3E8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7"/>
          <w:u w:val="single"/>
          <w:lang w:eastAsia="zh-CN"/>
        </w:rPr>
      </w:pPr>
      <w:r>
        <w:rPr>
          <w:rFonts w:hint="eastAsia" w:ascii="宋体" w:hAnsi="宋体" w:eastAsia="宋体"/>
          <w:color w:val="auto"/>
          <w:sz w:val="27"/>
        </w:rPr>
        <w:t xml:space="preserve"> 3. 工程规模： </w:t>
      </w:r>
      <w:r>
        <w:rPr>
          <w:rFonts w:hint="eastAsia" w:ascii="宋体" w:hAnsi="宋体"/>
          <w:color w:val="auto"/>
          <w:sz w:val="27"/>
          <w:u w:val="single"/>
          <w:lang w:val="en-US" w:eastAsia="zh-CN"/>
        </w:rPr>
        <w:t xml:space="preserve">    </w:t>
      </w:r>
      <w:r>
        <w:rPr>
          <w:rFonts w:hint="eastAsia" w:ascii="Times New Roman" w:hAnsi="Times New Roman" w:eastAsia="方正仿宋简体" w:cs="Times New Roman"/>
          <w:color w:val="auto"/>
          <w:kern w:val="2"/>
          <w:sz w:val="32"/>
          <w:szCs w:val="32"/>
          <w:u w:val="single"/>
          <w:lang w:val="en-US" w:eastAsia="zh-CN" w:bidi="ar-SA"/>
        </w:rPr>
        <w:t>广汉市弘诚金雁宾馆有限责任公司实施金雁宾馆品质提升项目</w:t>
      </w:r>
      <w:r>
        <w:rPr>
          <w:rFonts w:hint="default" w:ascii="Times New Roman" w:hAnsi="Times New Roman" w:eastAsia="方正仿宋简体" w:cs="Times New Roman"/>
          <w:color w:val="auto"/>
          <w:sz w:val="32"/>
          <w:szCs w:val="32"/>
          <w:u w:val="single"/>
          <w:shd w:val="clear" w:color="auto" w:fill="auto"/>
          <w:lang w:val="en-US" w:eastAsia="zh-CN"/>
        </w:rPr>
        <w:t>总面积约</w:t>
      </w:r>
      <w:r>
        <w:rPr>
          <w:rFonts w:hint="eastAsia" w:ascii="Times New Roman" w:hAnsi="Times New Roman" w:eastAsia="方正仿宋简体" w:cs="Times New Roman"/>
          <w:color w:val="auto"/>
          <w:sz w:val="32"/>
          <w:szCs w:val="32"/>
          <w:u w:val="single"/>
          <w:shd w:val="clear" w:color="auto" w:fill="auto"/>
          <w:lang w:val="en-US" w:eastAsia="zh-CN"/>
        </w:rPr>
        <w:t>12000</w:t>
      </w:r>
      <w:r>
        <w:rPr>
          <w:rFonts w:hint="default" w:ascii="Times New Roman" w:hAnsi="Times New Roman" w:eastAsia="方正仿宋简体" w:cs="Times New Roman"/>
          <w:kern w:val="2"/>
          <w:sz w:val="32"/>
          <w:szCs w:val="32"/>
          <w:u w:val="single"/>
          <w:lang w:val="en-US" w:eastAsia="zh-CN" w:bidi="ar-SA"/>
        </w:rPr>
        <w:t>㎡</w:t>
      </w:r>
      <w:r>
        <w:rPr>
          <w:rFonts w:hint="default" w:ascii="Times New Roman" w:hAnsi="Times New Roman" w:eastAsia="方正仿宋简体" w:cs="Times New Roman"/>
          <w:sz w:val="32"/>
          <w:szCs w:val="32"/>
          <w:u w:val="single"/>
          <w:lang w:val="en-US" w:eastAsia="zh-CN"/>
        </w:rPr>
        <w:t>区域进行改造</w:t>
      </w:r>
      <w:r>
        <w:rPr>
          <w:rFonts w:hint="eastAsia" w:ascii="Times New Roman" w:hAnsi="Times New Roman" w:eastAsia="方正仿宋简体" w:cs="Times New Roman"/>
          <w:kern w:val="2"/>
          <w:sz w:val="32"/>
          <w:szCs w:val="32"/>
          <w:u w:val="single"/>
          <w:lang w:val="en-US" w:eastAsia="zh-CN" w:bidi="ar-SA"/>
        </w:rPr>
        <w:t>；</w:t>
      </w:r>
      <w:r>
        <w:rPr>
          <w:rFonts w:hint="eastAsia" w:ascii="宋体" w:hAnsi="宋体" w:eastAsia="宋体"/>
          <w:color w:val="auto"/>
          <w:sz w:val="27"/>
          <w:u w:val="single"/>
          <w:lang w:val="en-US" w:eastAsia="zh-CN"/>
        </w:rPr>
        <w:t>。</w:t>
      </w:r>
    </w:p>
    <w:p w14:paraId="736A3AF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4. 工程概算投资额或建筑安装工程费：</w:t>
      </w:r>
      <w:r>
        <w:rPr>
          <w:rFonts w:hint="eastAsia" w:ascii="宋体" w:hAnsi="宋体" w:eastAsia="宋体"/>
          <w:color w:val="auto"/>
          <w:sz w:val="27"/>
          <w:u w:val="single"/>
        </w:rPr>
        <w:t xml:space="preserve"> </w:t>
      </w:r>
      <w:r>
        <w:rPr>
          <w:rFonts w:hint="eastAsia" w:eastAsia="方正仿宋简体" w:cs="Times New Roman"/>
          <w:color w:val="auto"/>
          <w:sz w:val="32"/>
          <w:szCs w:val="32"/>
          <w:u w:val="single"/>
          <w:lang w:val="en-US" w:eastAsia="zh-CN"/>
        </w:rPr>
        <w:t>2579138.12</w:t>
      </w:r>
      <w:r>
        <w:rPr>
          <w:rFonts w:hint="eastAsia" w:ascii="Times New Roman" w:hAnsi="Times New Roman" w:eastAsia="方正仿宋简体" w:cs="Times New Roman"/>
          <w:color w:val="auto"/>
          <w:sz w:val="32"/>
          <w:szCs w:val="32"/>
          <w:u w:val="single"/>
          <w:lang w:val="en-US" w:eastAsia="zh-CN"/>
        </w:rPr>
        <w:t>元</w:t>
      </w:r>
      <w:r>
        <w:rPr>
          <w:rFonts w:hint="eastAsia" w:ascii="宋体" w:hAnsi="宋体" w:eastAsia="宋体"/>
          <w:color w:val="auto"/>
          <w:sz w:val="27"/>
        </w:rPr>
        <w:t xml:space="preserve"> 。</w:t>
      </w:r>
    </w:p>
    <w:p w14:paraId="2B147652">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二、词语限定</w:t>
      </w:r>
    </w:p>
    <w:p w14:paraId="21616E2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协议书中相关词语的含义与通用条件中的定义与解释相同。</w:t>
      </w:r>
    </w:p>
    <w:p w14:paraId="0EF3EF20">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三、组成本合同的文件</w:t>
      </w:r>
    </w:p>
    <w:p w14:paraId="131DBE8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 协议书；</w:t>
      </w:r>
    </w:p>
    <w:p w14:paraId="5D6EF659">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 中标通知书（适用于招标工程）或委托书（适用于非招标工程）；</w:t>
      </w:r>
    </w:p>
    <w:p w14:paraId="1A070F5D">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3. 投标文件（适用于招标工程）或监理与相关服务建议书（适用于非招标工程）；</w:t>
      </w:r>
    </w:p>
    <w:p w14:paraId="51CBD58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color w:val="auto"/>
          <w:sz w:val="27"/>
          <w:lang w:val="en-US" w:eastAsia="zh-CN"/>
        </w:rPr>
        <w:t xml:space="preserve"> </w:t>
      </w:r>
      <w:r>
        <w:rPr>
          <w:rFonts w:hint="eastAsia" w:ascii="宋体" w:hAnsi="宋体" w:eastAsia="宋体"/>
          <w:color w:val="auto"/>
          <w:sz w:val="27"/>
        </w:rPr>
        <w:t>4. 专用条件；</w:t>
      </w:r>
    </w:p>
    <w:p w14:paraId="5BB4B0E3">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5. 通用条件；</w:t>
      </w:r>
    </w:p>
    <w:p w14:paraId="601F8F9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 附录，即：</w:t>
      </w:r>
    </w:p>
    <w:p w14:paraId="3D09BDC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附录A  相关服务的范围和内容</w:t>
      </w:r>
    </w:p>
    <w:p w14:paraId="040E5E7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附录B  委托人派遣的人员和提供的 房屋、资料 、设备</w:t>
      </w:r>
    </w:p>
    <w:p w14:paraId="50CB44C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本合同签订后，双方依法签订的补充协议也是本合同文件的组成部分。</w:t>
      </w:r>
    </w:p>
    <w:p w14:paraId="6AFA987E">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四、总监理工程师</w:t>
      </w:r>
    </w:p>
    <w:p w14:paraId="268E0BD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总监理工程师姓名： </w:t>
      </w:r>
      <w:r>
        <w:rPr>
          <w:rFonts w:hint="eastAsia" w:ascii="宋体" w:hAnsi="宋体"/>
          <w:color w:val="auto"/>
          <w:sz w:val="27"/>
          <w:u w:val="single"/>
          <w:lang w:val="en-US" w:eastAsia="zh-CN"/>
        </w:rPr>
        <w:t xml:space="preserve">       </w:t>
      </w:r>
      <w:r>
        <w:rPr>
          <w:rFonts w:hint="eastAsia" w:ascii="宋体" w:hAnsi="宋体" w:eastAsia="宋体"/>
          <w:color w:val="auto"/>
          <w:sz w:val="27"/>
        </w:rPr>
        <w:t xml:space="preserve"> ，身份证号码： </w:t>
      </w:r>
      <w:r>
        <w:rPr>
          <w:rFonts w:hint="eastAsia" w:ascii="宋体" w:hAnsi="宋体" w:eastAsia="宋体"/>
          <w:b/>
          <w:color w:val="auto"/>
          <w:sz w:val="27"/>
          <w:u w:val="single"/>
        </w:rPr>
        <w:t xml:space="preserve">       </w:t>
      </w:r>
      <w:r>
        <w:rPr>
          <w:rFonts w:hint="eastAsia" w:ascii="宋体" w:hAnsi="宋体" w:eastAsia="宋体"/>
          <w:color w:val="auto"/>
          <w:sz w:val="27"/>
        </w:rPr>
        <w:t xml:space="preserve"> ，注册号： </w:t>
      </w:r>
      <w:r>
        <w:rPr>
          <w:rFonts w:hint="eastAsia" w:ascii="宋体" w:hAnsi="宋体" w:eastAsia="宋体"/>
          <w:b/>
          <w:color w:val="auto"/>
          <w:sz w:val="27"/>
          <w:u w:val="single"/>
        </w:rPr>
        <w:t xml:space="preserve"> </w:t>
      </w:r>
      <w:r>
        <w:rPr>
          <w:rFonts w:hint="eastAsia" w:ascii="宋体" w:hAnsi="宋体"/>
          <w:b w:val="0"/>
          <w:bCs/>
          <w:color w:val="auto"/>
          <w:sz w:val="27"/>
          <w:u w:val="single"/>
          <w:lang w:val="en-US" w:eastAsia="zh-CN"/>
        </w:rPr>
        <w:t xml:space="preserve">       </w:t>
      </w:r>
      <w:r>
        <w:rPr>
          <w:rFonts w:hint="eastAsia" w:ascii="宋体" w:hAnsi="宋体" w:eastAsia="宋体"/>
          <w:b w:val="0"/>
          <w:bCs/>
          <w:color w:val="auto"/>
          <w:sz w:val="27"/>
          <w:u w:val="single"/>
        </w:rPr>
        <w:t xml:space="preserve"> </w:t>
      </w:r>
      <w:r>
        <w:rPr>
          <w:rFonts w:hint="eastAsia" w:ascii="宋体" w:hAnsi="宋体" w:eastAsia="宋体"/>
          <w:color w:val="auto"/>
          <w:sz w:val="27"/>
        </w:rPr>
        <w:t xml:space="preserve"> 。</w:t>
      </w:r>
    </w:p>
    <w:p w14:paraId="2B74900B">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五、签约酬金</w:t>
      </w:r>
    </w:p>
    <w:p w14:paraId="25475EE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签约酬金（大写）：</w:t>
      </w:r>
      <w:r>
        <w:rPr>
          <w:rFonts w:hint="eastAsia" w:ascii="宋体" w:hAnsi="宋体" w:eastAsia="宋体"/>
          <w:color w:val="auto"/>
          <w:sz w:val="27"/>
          <w:u w:val="single"/>
        </w:rPr>
        <w:t xml:space="preserve"> </w:t>
      </w:r>
      <w:r>
        <w:rPr>
          <w:rFonts w:hint="eastAsia" w:ascii="宋体" w:hAnsi="宋体"/>
          <w:color w:val="auto"/>
          <w:sz w:val="27"/>
          <w:u w:val="single"/>
          <w:lang w:val="en-US" w:eastAsia="zh-CN"/>
        </w:rPr>
        <w:t xml:space="preserve">       </w:t>
      </w:r>
      <w:r>
        <w:rPr>
          <w:rFonts w:hint="eastAsia" w:ascii="宋体" w:hAnsi="宋体" w:eastAsia="宋体"/>
          <w:b/>
          <w:color w:val="auto"/>
          <w:sz w:val="27"/>
          <w:u w:val="single"/>
        </w:rPr>
        <w:t xml:space="preserve">  </w:t>
      </w:r>
      <w:r>
        <w:rPr>
          <w:rFonts w:hint="eastAsia" w:ascii="宋体" w:hAnsi="宋体" w:eastAsia="宋体"/>
          <w:color w:val="auto"/>
          <w:sz w:val="27"/>
        </w:rPr>
        <w:t>（¥</w:t>
      </w:r>
      <w:r>
        <w:rPr>
          <w:rFonts w:hint="eastAsia" w:ascii="宋体" w:hAnsi="宋体"/>
          <w:color w:val="auto"/>
          <w:sz w:val="27"/>
          <w:lang w:eastAsia="zh-CN"/>
        </w:rPr>
        <w:t>：</w:t>
      </w:r>
      <w:r>
        <w:rPr>
          <w:rFonts w:hint="eastAsia" w:ascii="宋体" w:hAnsi="宋体" w:eastAsia="宋体"/>
          <w:color w:val="auto"/>
          <w:sz w:val="27"/>
          <w:u w:val="single"/>
        </w:rPr>
        <w:t xml:space="preserve"> </w:t>
      </w:r>
      <w:r>
        <w:rPr>
          <w:rFonts w:hint="eastAsia" w:ascii="宋体" w:hAnsi="宋体"/>
          <w:color w:val="auto"/>
          <w:sz w:val="27"/>
          <w:u w:val="single"/>
          <w:lang w:val="en-US" w:eastAsia="zh-CN"/>
        </w:rPr>
        <w:t xml:space="preserve">     </w:t>
      </w:r>
      <w:r>
        <w:rPr>
          <w:rFonts w:hint="eastAsia" w:ascii="宋体" w:hAnsi="宋体" w:eastAsia="宋体"/>
          <w:b/>
          <w:color w:val="auto"/>
          <w:sz w:val="27"/>
          <w:u w:val="single"/>
        </w:rPr>
        <w:t xml:space="preserve"> </w:t>
      </w:r>
      <w:r>
        <w:rPr>
          <w:rFonts w:hint="eastAsia" w:ascii="宋体" w:hAnsi="宋体" w:eastAsia="宋体"/>
          <w:color w:val="auto"/>
          <w:sz w:val="27"/>
        </w:rPr>
        <w:t>）。</w:t>
      </w:r>
    </w:p>
    <w:p w14:paraId="54611A1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包括：</w:t>
      </w:r>
    </w:p>
    <w:p w14:paraId="637AA0C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1. 监理酬金： ¥</w:t>
      </w:r>
      <w:r>
        <w:rPr>
          <w:rFonts w:hint="eastAsia" w:ascii="宋体" w:hAnsi="宋体"/>
          <w:color w:val="auto"/>
          <w:sz w:val="27"/>
          <w:lang w:eastAsia="zh-CN"/>
        </w:rPr>
        <w:t>：</w:t>
      </w:r>
      <w:r>
        <w:rPr>
          <w:rFonts w:hint="eastAsia" w:ascii="宋体" w:hAnsi="宋体" w:eastAsia="宋体"/>
          <w:color w:val="auto"/>
          <w:sz w:val="27"/>
          <w:u w:val="single"/>
        </w:rPr>
        <w:t xml:space="preserve"> </w:t>
      </w:r>
      <w:r>
        <w:rPr>
          <w:rFonts w:hint="eastAsia" w:ascii="宋体" w:hAnsi="宋体"/>
          <w:color w:val="auto"/>
          <w:sz w:val="27"/>
          <w:u w:val="single"/>
          <w:lang w:val="en-US" w:eastAsia="zh-CN"/>
        </w:rPr>
        <w:t xml:space="preserve">         </w:t>
      </w:r>
      <w:r>
        <w:rPr>
          <w:rFonts w:hint="eastAsia" w:ascii="宋体" w:hAnsi="宋体" w:eastAsia="宋体"/>
          <w:b/>
          <w:color w:val="auto"/>
          <w:sz w:val="27"/>
          <w:u w:val="single"/>
        </w:rPr>
        <w:t xml:space="preserve"> </w:t>
      </w:r>
      <w:r>
        <w:rPr>
          <w:rFonts w:hint="eastAsia" w:ascii="宋体" w:hAnsi="宋体" w:eastAsia="宋体"/>
          <w:color w:val="auto"/>
          <w:sz w:val="27"/>
        </w:rPr>
        <w:t>。</w:t>
      </w:r>
    </w:p>
    <w:p w14:paraId="66D686D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 相关服务酬金：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7843466A">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其中：</w:t>
      </w:r>
    </w:p>
    <w:p w14:paraId="38FF6BC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（1）勘察阶段服务酬金：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24DBB69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（2）设计阶段服务酬金：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60051A7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（3）保修阶段服务酬金：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359B630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（4）其他相关服务酬金：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160A8E63">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六、期限</w:t>
      </w:r>
    </w:p>
    <w:p w14:paraId="503BD0D4">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1. 监理期限：</w:t>
      </w:r>
    </w:p>
    <w:p w14:paraId="72E5DFA8">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default" w:ascii="宋体" w:hAnsi="宋体" w:eastAsia="宋体"/>
          <w:color w:val="auto"/>
          <w:sz w:val="27"/>
          <w:lang w:val="en-US" w:eastAsia="zh-CN"/>
        </w:rPr>
      </w:pPr>
      <w:r>
        <w:rPr>
          <w:rFonts w:hint="eastAsia" w:ascii="宋体" w:hAnsi="宋体"/>
          <w:color w:val="auto"/>
          <w:sz w:val="27"/>
          <w:lang w:val="en-US" w:eastAsia="zh-CN"/>
        </w:rPr>
        <w:t>自合同签订之日起至缺陷责任期满。</w:t>
      </w:r>
    </w:p>
    <w:p w14:paraId="19B8AB62">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2. 相关服务期限：</w:t>
      </w:r>
    </w:p>
    <w:p w14:paraId="24DBA5C2">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（1）勘察阶段服务期限自   </w:t>
      </w:r>
      <w:r>
        <w:rPr>
          <w:rFonts w:hint="eastAsia" w:ascii="宋体" w:hAnsi="宋体"/>
          <w:color w:val="auto"/>
          <w:sz w:val="27"/>
          <w:lang w:val="en-US" w:eastAsia="zh-CN"/>
        </w:rPr>
        <w:t>/</w:t>
      </w:r>
      <w:r>
        <w:rPr>
          <w:rFonts w:hint="eastAsia" w:ascii="宋体" w:hAnsi="宋体" w:eastAsia="宋体"/>
          <w:color w:val="auto"/>
          <w:sz w:val="27"/>
        </w:rPr>
        <w:t xml:space="preserve">  年 </w:t>
      </w:r>
      <w:r>
        <w:rPr>
          <w:rFonts w:hint="eastAsia" w:ascii="宋体" w:hAnsi="宋体"/>
          <w:color w:val="auto"/>
          <w:sz w:val="27"/>
          <w:lang w:val="en-US" w:eastAsia="zh-CN"/>
        </w:rPr>
        <w:t>/</w:t>
      </w:r>
      <w:r>
        <w:rPr>
          <w:rFonts w:hint="eastAsia" w:ascii="宋体" w:hAnsi="宋体" w:eastAsia="宋体"/>
          <w:color w:val="auto"/>
          <w:sz w:val="27"/>
        </w:rPr>
        <w:t xml:space="preserve"> 月 </w:t>
      </w:r>
      <w:r>
        <w:rPr>
          <w:rFonts w:hint="eastAsia" w:ascii="宋体" w:hAnsi="宋体"/>
          <w:color w:val="auto"/>
          <w:sz w:val="27"/>
          <w:lang w:val="en-US" w:eastAsia="zh-CN"/>
        </w:rPr>
        <w:t>/</w:t>
      </w:r>
      <w:r>
        <w:rPr>
          <w:rFonts w:hint="eastAsia" w:ascii="宋体" w:hAnsi="宋体" w:eastAsia="宋体"/>
          <w:color w:val="auto"/>
          <w:sz w:val="27"/>
        </w:rPr>
        <w:t xml:space="preserve"> 日 始，至   </w:t>
      </w:r>
      <w:r>
        <w:rPr>
          <w:rFonts w:hint="eastAsia" w:ascii="宋体" w:hAnsi="宋体"/>
          <w:color w:val="auto"/>
          <w:sz w:val="27"/>
          <w:lang w:val="en-US" w:eastAsia="zh-CN"/>
        </w:rPr>
        <w:t>/</w:t>
      </w:r>
      <w:r>
        <w:rPr>
          <w:rFonts w:hint="eastAsia" w:ascii="宋体" w:hAnsi="宋体" w:eastAsia="宋体"/>
          <w:color w:val="auto"/>
          <w:sz w:val="27"/>
        </w:rPr>
        <w:t xml:space="preserve">  年  月 </w:t>
      </w:r>
      <w:r>
        <w:rPr>
          <w:rFonts w:hint="eastAsia" w:ascii="宋体" w:hAnsi="宋体"/>
          <w:color w:val="auto"/>
          <w:sz w:val="27"/>
          <w:lang w:val="en-US" w:eastAsia="zh-CN"/>
        </w:rPr>
        <w:t>/</w:t>
      </w:r>
      <w:r>
        <w:rPr>
          <w:rFonts w:hint="eastAsia" w:ascii="宋体" w:hAnsi="宋体" w:eastAsia="宋体"/>
          <w:color w:val="auto"/>
          <w:sz w:val="27"/>
        </w:rPr>
        <w:t xml:space="preserve"> 日 </w:t>
      </w:r>
      <w:r>
        <w:rPr>
          <w:rFonts w:hint="eastAsia" w:ascii="宋体" w:hAnsi="宋体"/>
          <w:color w:val="auto"/>
          <w:sz w:val="27"/>
          <w:lang w:val="en-US" w:eastAsia="zh-CN"/>
        </w:rPr>
        <w:t>/</w:t>
      </w:r>
      <w:r>
        <w:rPr>
          <w:rFonts w:hint="eastAsia" w:ascii="宋体" w:hAnsi="宋体" w:eastAsia="宋体"/>
          <w:color w:val="auto"/>
          <w:sz w:val="27"/>
        </w:rPr>
        <w:t>止。</w:t>
      </w:r>
    </w:p>
    <w:p w14:paraId="1B924591">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（2）设计阶段服务期限自   </w:t>
      </w:r>
      <w:r>
        <w:rPr>
          <w:rFonts w:hint="eastAsia" w:ascii="宋体" w:hAnsi="宋体"/>
          <w:color w:val="auto"/>
          <w:sz w:val="27"/>
          <w:lang w:val="en-US" w:eastAsia="zh-CN"/>
        </w:rPr>
        <w:t>/</w:t>
      </w:r>
      <w:r>
        <w:rPr>
          <w:rFonts w:hint="eastAsia" w:ascii="宋体" w:hAnsi="宋体" w:eastAsia="宋体"/>
          <w:color w:val="auto"/>
          <w:sz w:val="27"/>
        </w:rPr>
        <w:t xml:space="preserve">  年 </w:t>
      </w:r>
      <w:r>
        <w:rPr>
          <w:rFonts w:hint="eastAsia" w:ascii="宋体" w:hAnsi="宋体"/>
          <w:color w:val="auto"/>
          <w:sz w:val="27"/>
          <w:lang w:val="en-US" w:eastAsia="zh-CN"/>
        </w:rPr>
        <w:t>/</w:t>
      </w:r>
      <w:r>
        <w:rPr>
          <w:rFonts w:hint="eastAsia" w:ascii="宋体" w:hAnsi="宋体" w:eastAsia="宋体"/>
          <w:color w:val="auto"/>
          <w:sz w:val="27"/>
        </w:rPr>
        <w:t xml:space="preserve"> 月 </w:t>
      </w:r>
      <w:r>
        <w:rPr>
          <w:rFonts w:hint="eastAsia" w:ascii="宋体" w:hAnsi="宋体"/>
          <w:color w:val="auto"/>
          <w:sz w:val="27"/>
          <w:lang w:val="en-US" w:eastAsia="zh-CN"/>
        </w:rPr>
        <w:t>/</w:t>
      </w:r>
      <w:r>
        <w:rPr>
          <w:rFonts w:hint="eastAsia" w:ascii="宋体" w:hAnsi="宋体" w:eastAsia="宋体"/>
          <w:color w:val="auto"/>
          <w:sz w:val="27"/>
        </w:rPr>
        <w:t xml:space="preserve"> 日 始，至  </w:t>
      </w:r>
      <w:r>
        <w:rPr>
          <w:rFonts w:hint="eastAsia" w:ascii="宋体" w:hAnsi="宋体"/>
          <w:color w:val="auto"/>
          <w:sz w:val="27"/>
          <w:lang w:val="en-US" w:eastAsia="zh-CN"/>
        </w:rPr>
        <w:t>/</w:t>
      </w:r>
      <w:r>
        <w:rPr>
          <w:rFonts w:hint="eastAsia" w:ascii="宋体" w:hAnsi="宋体" w:eastAsia="宋体"/>
          <w:color w:val="auto"/>
          <w:sz w:val="27"/>
        </w:rPr>
        <w:t xml:space="preserve">   年  月  </w:t>
      </w:r>
      <w:r>
        <w:rPr>
          <w:rFonts w:hint="eastAsia" w:ascii="宋体" w:hAnsi="宋体"/>
          <w:color w:val="auto"/>
          <w:sz w:val="27"/>
          <w:lang w:val="en-US" w:eastAsia="zh-CN"/>
        </w:rPr>
        <w:t>/</w:t>
      </w:r>
      <w:r>
        <w:rPr>
          <w:rFonts w:hint="eastAsia" w:ascii="宋体" w:hAnsi="宋体" w:eastAsia="宋体"/>
          <w:color w:val="auto"/>
          <w:sz w:val="27"/>
        </w:rPr>
        <w:t xml:space="preserve">日 </w:t>
      </w:r>
      <w:r>
        <w:rPr>
          <w:rFonts w:hint="eastAsia" w:ascii="宋体" w:hAnsi="宋体"/>
          <w:color w:val="auto"/>
          <w:sz w:val="27"/>
          <w:lang w:val="en-US" w:eastAsia="zh-CN"/>
        </w:rPr>
        <w:t>/</w:t>
      </w:r>
      <w:r>
        <w:rPr>
          <w:rFonts w:hint="eastAsia" w:ascii="宋体" w:hAnsi="宋体" w:eastAsia="宋体"/>
          <w:color w:val="auto"/>
          <w:sz w:val="27"/>
        </w:rPr>
        <w:t>止。</w:t>
      </w:r>
    </w:p>
    <w:p w14:paraId="2C9714B9">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（3）保修阶段服务期限自   </w:t>
      </w:r>
      <w:r>
        <w:rPr>
          <w:rFonts w:hint="eastAsia" w:ascii="宋体" w:hAnsi="宋体"/>
          <w:color w:val="auto"/>
          <w:sz w:val="27"/>
          <w:lang w:val="en-US" w:eastAsia="zh-CN"/>
        </w:rPr>
        <w:t>/</w:t>
      </w:r>
      <w:r>
        <w:rPr>
          <w:rFonts w:hint="eastAsia" w:ascii="宋体" w:hAnsi="宋体" w:eastAsia="宋体"/>
          <w:color w:val="auto"/>
          <w:sz w:val="27"/>
        </w:rPr>
        <w:t xml:space="preserve">  年  月 </w:t>
      </w:r>
      <w:r>
        <w:rPr>
          <w:rFonts w:hint="eastAsia" w:ascii="宋体" w:hAnsi="宋体"/>
          <w:color w:val="auto"/>
          <w:sz w:val="27"/>
          <w:lang w:val="en-US" w:eastAsia="zh-CN"/>
        </w:rPr>
        <w:t>/</w:t>
      </w:r>
      <w:r>
        <w:rPr>
          <w:rFonts w:hint="eastAsia" w:ascii="宋体" w:hAnsi="宋体" w:eastAsia="宋体"/>
          <w:color w:val="auto"/>
          <w:sz w:val="27"/>
        </w:rPr>
        <w:t xml:space="preserve"> 日 始，至   </w:t>
      </w:r>
      <w:r>
        <w:rPr>
          <w:rFonts w:hint="eastAsia" w:ascii="宋体" w:hAnsi="宋体"/>
          <w:color w:val="auto"/>
          <w:sz w:val="27"/>
          <w:lang w:val="en-US" w:eastAsia="zh-CN"/>
        </w:rPr>
        <w:t>/</w:t>
      </w:r>
      <w:r>
        <w:rPr>
          <w:rFonts w:hint="eastAsia" w:ascii="宋体" w:hAnsi="宋体" w:eastAsia="宋体"/>
          <w:color w:val="auto"/>
          <w:sz w:val="27"/>
        </w:rPr>
        <w:t xml:space="preserve">  年  月 </w:t>
      </w:r>
      <w:r>
        <w:rPr>
          <w:rFonts w:hint="eastAsia" w:ascii="宋体" w:hAnsi="宋体"/>
          <w:color w:val="auto"/>
          <w:sz w:val="27"/>
          <w:lang w:val="en-US" w:eastAsia="zh-CN"/>
        </w:rPr>
        <w:t>/</w:t>
      </w:r>
      <w:r>
        <w:rPr>
          <w:rFonts w:hint="eastAsia" w:ascii="宋体" w:hAnsi="宋体" w:eastAsia="宋体"/>
          <w:color w:val="auto"/>
          <w:sz w:val="27"/>
        </w:rPr>
        <w:t xml:space="preserve"> 日 </w:t>
      </w:r>
      <w:r>
        <w:rPr>
          <w:rFonts w:hint="eastAsia" w:ascii="宋体" w:hAnsi="宋体"/>
          <w:color w:val="auto"/>
          <w:sz w:val="27"/>
          <w:lang w:val="en-US" w:eastAsia="zh-CN"/>
        </w:rPr>
        <w:t>/</w:t>
      </w:r>
      <w:r>
        <w:rPr>
          <w:rFonts w:hint="eastAsia" w:ascii="宋体" w:hAnsi="宋体" w:eastAsia="宋体"/>
          <w:color w:val="auto"/>
          <w:sz w:val="27"/>
        </w:rPr>
        <w:t>止。</w:t>
      </w:r>
    </w:p>
    <w:p w14:paraId="26EA0040">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（4）其他相关服务期限自   </w:t>
      </w:r>
      <w:r>
        <w:rPr>
          <w:rFonts w:hint="eastAsia" w:ascii="宋体" w:hAnsi="宋体"/>
          <w:color w:val="auto"/>
          <w:sz w:val="27"/>
          <w:lang w:val="en-US" w:eastAsia="zh-CN"/>
        </w:rPr>
        <w:t>/</w:t>
      </w:r>
      <w:r>
        <w:rPr>
          <w:rFonts w:hint="eastAsia" w:ascii="宋体" w:hAnsi="宋体" w:eastAsia="宋体"/>
          <w:color w:val="auto"/>
          <w:sz w:val="27"/>
        </w:rPr>
        <w:t xml:space="preserve">  年  月 </w:t>
      </w:r>
      <w:r>
        <w:rPr>
          <w:rFonts w:hint="eastAsia" w:ascii="宋体" w:hAnsi="宋体"/>
          <w:color w:val="auto"/>
          <w:sz w:val="27"/>
          <w:lang w:val="en-US" w:eastAsia="zh-CN"/>
        </w:rPr>
        <w:t>/</w:t>
      </w:r>
      <w:r>
        <w:rPr>
          <w:rFonts w:hint="eastAsia" w:ascii="宋体" w:hAnsi="宋体" w:eastAsia="宋体"/>
          <w:color w:val="auto"/>
          <w:sz w:val="27"/>
        </w:rPr>
        <w:t xml:space="preserve"> 日 始，至   </w:t>
      </w:r>
      <w:r>
        <w:rPr>
          <w:rFonts w:hint="eastAsia" w:ascii="宋体" w:hAnsi="宋体"/>
          <w:color w:val="auto"/>
          <w:sz w:val="27"/>
          <w:lang w:val="en-US" w:eastAsia="zh-CN"/>
        </w:rPr>
        <w:t>/</w:t>
      </w:r>
      <w:r>
        <w:rPr>
          <w:rFonts w:hint="eastAsia" w:ascii="宋体" w:hAnsi="宋体" w:eastAsia="宋体"/>
          <w:color w:val="auto"/>
          <w:sz w:val="27"/>
        </w:rPr>
        <w:t xml:space="preserve">  年  月 </w:t>
      </w:r>
      <w:r>
        <w:rPr>
          <w:rFonts w:hint="eastAsia" w:ascii="宋体" w:hAnsi="宋体"/>
          <w:color w:val="auto"/>
          <w:sz w:val="27"/>
          <w:lang w:val="en-US" w:eastAsia="zh-CN"/>
        </w:rPr>
        <w:t>/</w:t>
      </w:r>
      <w:r>
        <w:rPr>
          <w:rFonts w:hint="eastAsia" w:ascii="宋体" w:hAnsi="宋体" w:eastAsia="宋体"/>
          <w:color w:val="auto"/>
          <w:sz w:val="27"/>
        </w:rPr>
        <w:t xml:space="preserve"> 日 </w:t>
      </w:r>
      <w:r>
        <w:rPr>
          <w:rFonts w:hint="eastAsia" w:ascii="宋体" w:hAnsi="宋体"/>
          <w:color w:val="auto"/>
          <w:sz w:val="27"/>
          <w:lang w:val="en-US" w:eastAsia="zh-CN"/>
        </w:rPr>
        <w:t>/</w:t>
      </w:r>
      <w:r>
        <w:rPr>
          <w:rFonts w:hint="eastAsia" w:ascii="宋体" w:hAnsi="宋体" w:eastAsia="宋体"/>
          <w:color w:val="auto"/>
          <w:sz w:val="27"/>
        </w:rPr>
        <w:t>止。</w:t>
      </w:r>
    </w:p>
    <w:p w14:paraId="7D08382C">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七、双方承诺</w:t>
      </w:r>
    </w:p>
    <w:p w14:paraId="3AB4146C">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1. 监理人向委托人承诺，按照本合同约定提供监理与相关服务。</w:t>
      </w:r>
    </w:p>
    <w:p w14:paraId="1EC40734">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2. 委托人向监理人承诺，按照本合同约定派遣相应的人员，提供房屋、资料、设备，并按本合同约定支付酬金。</w:t>
      </w:r>
    </w:p>
    <w:p w14:paraId="703A9AD9">
      <w:pPr>
        <w:pStyle w:val="5"/>
        <w:pageBreakBefore w:val="0"/>
        <w:widowControl w:val="0"/>
        <w:kinsoku/>
        <w:wordWrap/>
        <w:overflowPunct/>
        <w:topLinePunct w:val="0"/>
        <w:autoSpaceDE/>
        <w:autoSpaceDN/>
        <w:bidi w:val="0"/>
        <w:adjustRightInd/>
        <w:snapToGrid/>
        <w:spacing w:before="0" w:after="0" w:line="360" w:lineRule="auto"/>
        <w:ind w:firstLine="537"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eastAsia="宋体"/>
          <w:b/>
          <w:color w:val="auto"/>
          <w:sz w:val="27"/>
        </w:rPr>
        <w:t>八、合同订立</w:t>
      </w:r>
    </w:p>
    <w:p w14:paraId="01CE09D8">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 订立时间：     年  月  日 。</w:t>
      </w:r>
    </w:p>
    <w:p w14:paraId="1DB5FDA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 订立地点： </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5AB4F89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3. 本合同一式</w:t>
      </w:r>
      <w:r>
        <w:rPr>
          <w:rFonts w:hint="eastAsia" w:ascii="宋体" w:hAnsi="宋体" w:eastAsia="宋体"/>
          <w:color w:val="auto"/>
          <w:sz w:val="27"/>
          <w:u w:val="single"/>
        </w:rPr>
        <w:t xml:space="preserve"> </w:t>
      </w:r>
      <w:r>
        <w:rPr>
          <w:rFonts w:hint="eastAsia" w:ascii="宋体" w:hAnsi="宋体"/>
          <w:color w:val="auto"/>
          <w:sz w:val="27"/>
          <w:u w:val="single"/>
          <w:lang w:val="en-US" w:eastAsia="zh-CN"/>
        </w:rPr>
        <w:t>陆</w:t>
      </w:r>
      <w:r>
        <w:rPr>
          <w:rFonts w:hint="eastAsia" w:ascii="宋体" w:hAnsi="宋体" w:eastAsia="宋体"/>
          <w:color w:val="auto"/>
          <w:sz w:val="27"/>
          <w:u w:val="single"/>
        </w:rPr>
        <w:t xml:space="preserve"> </w:t>
      </w:r>
      <w:r>
        <w:rPr>
          <w:rFonts w:hint="eastAsia" w:ascii="宋体" w:hAnsi="宋体" w:eastAsia="宋体"/>
          <w:color w:val="auto"/>
          <w:sz w:val="27"/>
        </w:rPr>
        <w:t xml:space="preserve">份，具有同等法律效力，双方各执 </w:t>
      </w:r>
      <w:r>
        <w:rPr>
          <w:rFonts w:hint="eastAsia" w:ascii="宋体" w:hAnsi="宋体"/>
          <w:b w:val="0"/>
          <w:bCs/>
          <w:color w:val="auto"/>
          <w:sz w:val="27"/>
          <w:u w:val="single"/>
          <w:lang w:val="en-US" w:eastAsia="zh-CN"/>
        </w:rPr>
        <w:t>叁</w:t>
      </w:r>
      <w:r>
        <w:rPr>
          <w:rFonts w:hint="eastAsia" w:ascii="宋体" w:hAnsi="宋体" w:eastAsia="宋体"/>
          <w:b w:val="0"/>
          <w:bCs/>
          <w:color w:val="auto"/>
          <w:sz w:val="27"/>
        </w:rPr>
        <w:t xml:space="preserve"> </w:t>
      </w:r>
      <w:r>
        <w:rPr>
          <w:rFonts w:hint="eastAsia" w:ascii="宋体" w:hAnsi="宋体" w:eastAsia="宋体"/>
          <w:color w:val="auto"/>
          <w:sz w:val="27"/>
        </w:rPr>
        <w:t>份。</w:t>
      </w:r>
    </w:p>
    <w:tbl>
      <w:tblPr>
        <w:tblStyle w:val="32"/>
        <w:tblW w:w="8295" w:type="dxa"/>
        <w:tblInd w:w="0" w:type="dxa"/>
        <w:tblLayout w:type="autofit"/>
        <w:tblCellMar>
          <w:top w:w="0" w:type="dxa"/>
          <w:left w:w="108" w:type="dxa"/>
          <w:bottom w:w="0" w:type="dxa"/>
          <w:right w:w="108" w:type="dxa"/>
        </w:tblCellMar>
      </w:tblPr>
      <w:tblGrid>
        <w:gridCol w:w="1777"/>
        <w:gridCol w:w="2370"/>
        <w:gridCol w:w="1777"/>
        <w:gridCol w:w="2371"/>
      </w:tblGrid>
      <w:tr w14:paraId="6CBA023B">
        <w:tblPrEx>
          <w:tblCellMar>
            <w:top w:w="0" w:type="dxa"/>
            <w:left w:w="108" w:type="dxa"/>
            <w:bottom w:w="0" w:type="dxa"/>
            <w:right w:w="108" w:type="dxa"/>
          </w:tblCellMar>
        </w:tblPrEx>
        <w:tc>
          <w:tcPr>
            <w:tcW w:w="1777" w:type="dxa"/>
            <w:noWrap w:val="0"/>
            <w:vAlign w:val="center"/>
          </w:tcPr>
          <w:p w14:paraId="1C64C03C">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委托人：</w:t>
            </w:r>
          </w:p>
        </w:tc>
        <w:tc>
          <w:tcPr>
            <w:tcW w:w="2370" w:type="dxa"/>
            <w:noWrap w:val="0"/>
            <w:vAlign w:val="center"/>
          </w:tcPr>
          <w:p w14:paraId="747291D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r>
              <w:rPr>
                <w:rFonts w:hint="eastAsia" w:ascii="宋体" w:hAnsi="宋体" w:eastAsia="宋体"/>
                <w:color w:val="auto"/>
                <w:sz w:val="27"/>
              </w:rPr>
              <w:t xml:space="preserve"> （盖章）</w:t>
            </w:r>
          </w:p>
        </w:tc>
        <w:tc>
          <w:tcPr>
            <w:tcW w:w="1777" w:type="dxa"/>
            <w:noWrap w:val="0"/>
            <w:vAlign w:val="center"/>
          </w:tcPr>
          <w:p w14:paraId="54D3FC8F">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监理人：</w:t>
            </w:r>
          </w:p>
        </w:tc>
        <w:tc>
          <w:tcPr>
            <w:tcW w:w="2370" w:type="dxa"/>
            <w:noWrap w:val="0"/>
            <w:vAlign w:val="center"/>
          </w:tcPr>
          <w:p w14:paraId="61FFC2E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r>
              <w:rPr>
                <w:rFonts w:hint="eastAsia" w:ascii="宋体" w:hAnsi="宋体" w:eastAsia="宋体"/>
                <w:color w:val="auto"/>
                <w:sz w:val="27"/>
              </w:rPr>
              <w:t xml:space="preserve"> （盖章）</w:t>
            </w:r>
          </w:p>
        </w:tc>
      </w:tr>
      <w:tr w14:paraId="3F4EA1BB">
        <w:tblPrEx>
          <w:tblCellMar>
            <w:top w:w="0" w:type="dxa"/>
            <w:left w:w="108" w:type="dxa"/>
            <w:bottom w:w="0" w:type="dxa"/>
            <w:right w:w="108" w:type="dxa"/>
          </w:tblCellMar>
        </w:tblPrEx>
        <w:tc>
          <w:tcPr>
            <w:tcW w:w="1777" w:type="dxa"/>
            <w:noWrap w:val="0"/>
            <w:vAlign w:val="center"/>
          </w:tcPr>
          <w:p w14:paraId="601A499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住所：</w:t>
            </w:r>
          </w:p>
        </w:tc>
        <w:tc>
          <w:tcPr>
            <w:tcW w:w="2370" w:type="dxa"/>
            <w:noWrap w:val="0"/>
            <w:vAlign w:val="center"/>
          </w:tcPr>
          <w:p w14:paraId="597DE8C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77" w:type="dxa"/>
            <w:noWrap w:val="0"/>
            <w:vAlign w:val="center"/>
          </w:tcPr>
          <w:p w14:paraId="2BBE1B6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住所：</w:t>
            </w:r>
          </w:p>
        </w:tc>
        <w:tc>
          <w:tcPr>
            <w:tcW w:w="2370" w:type="dxa"/>
            <w:noWrap w:val="0"/>
            <w:vAlign w:val="center"/>
          </w:tcPr>
          <w:p w14:paraId="3AAE03F8">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081CEDA8">
        <w:tblPrEx>
          <w:tblCellMar>
            <w:top w:w="0" w:type="dxa"/>
            <w:left w:w="108" w:type="dxa"/>
            <w:bottom w:w="0" w:type="dxa"/>
            <w:right w:w="108" w:type="dxa"/>
          </w:tblCellMar>
        </w:tblPrEx>
        <w:tc>
          <w:tcPr>
            <w:tcW w:w="1777" w:type="dxa"/>
            <w:noWrap w:val="0"/>
            <w:vAlign w:val="center"/>
          </w:tcPr>
          <w:p w14:paraId="4841B643">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邮政编码：</w:t>
            </w:r>
          </w:p>
        </w:tc>
        <w:tc>
          <w:tcPr>
            <w:tcW w:w="2370" w:type="dxa"/>
            <w:noWrap w:val="0"/>
            <w:vAlign w:val="center"/>
          </w:tcPr>
          <w:p w14:paraId="75747EE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77" w:type="dxa"/>
            <w:noWrap w:val="0"/>
            <w:vAlign w:val="center"/>
          </w:tcPr>
          <w:p w14:paraId="09FCFD5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邮政编码：</w:t>
            </w:r>
          </w:p>
        </w:tc>
        <w:tc>
          <w:tcPr>
            <w:tcW w:w="2370" w:type="dxa"/>
            <w:noWrap w:val="0"/>
            <w:vAlign w:val="center"/>
          </w:tcPr>
          <w:p w14:paraId="501F857C">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532E6D16">
        <w:tblPrEx>
          <w:tblCellMar>
            <w:top w:w="0" w:type="dxa"/>
            <w:left w:w="108" w:type="dxa"/>
            <w:bottom w:w="0" w:type="dxa"/>
            <w:right w:w="108" w:type="dxa"/>
          </w:tblCellMar>
        </w:tblPrEx>
        <w:tc>
          <w:tcPr>
            <w:tcW w:w="1777" w:type="dxa"/>
            <w:noWrap w:val="0"/>
            <w:vAlign w:val="center"/>
          </w:tcPr>
          <w:p w14:paraId="2A7B508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法定代表人或其授权的代理人：</w:t>
            </w:r>
          </w:p>
        </w:tc>
        <w:tc>
          <w:tcPr>
            <w:tcW w:w="2370" w:type="dxa"/>
            <w:noWrap w:val="0"/>
            <w:vAlign w:val="center"/>
          </w:tcPr>
          <w:p w14:paraId="7837734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r>
              <w:rPr>
                <w:rFonts w:hint="eastAsia" w:ascii="宋体" w:hAnsi="宋体" w:eastAsia="宋体"/>
                <w:color w:val="auto"/>
                <w:sz w:val="27"/>
              </w:rPr>
              <w:t xml:space="preserve"> （签字）</w:t>
            </w:r>
          </w:p>
        </w:tc>
        <w:tc>
          <w:tcPr>
            <w:tcW w:w="1777" w:type="dxa"/>
            <w:noWrap w:val="0"/>
            <w:vAlign w:val="center"/>
          </w:tcPr>
          <w:p w14:paraId="5BCCF7F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法定代表人或其授权的代理人：</w:t>
            </w:r>
          </w:p>
        </w:tc>
        <w:tc>
          <w:tcPr>
            <w:tcW w:w="2370" w:type="dxa"/>
            <w:noWrap w:val="0"/>
            <w:vAlign w:val="center"/>
          </w:tcPr>
          <w:p w14:paraId="6F7FCF04">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r>
              <w:rPr>
                <w:rFonts w:hint="eastAsia" w:ascii="宋体" w:hAnsi="宋体" w:eastAsia="宋体"/>
                <w:color w:val="auto"/>
                <w:sz w:val="27"/>
              </w:rPr>
              <w:t xml:space="preserve"> （签字）</w:t>
            </w:r>
          </w:p>
        </w:tc>
      </w:tr>
      <w:tr w14:paraId="76090D9A">
        <w:tblPrEx>
          <w:tblCellMar>
            <w:top w:w="0" w:type="dxa"/>
            <w:left w:w="108" w:type="dxa"/>
            <w:bottom w:w="0" w:type="dxa"/>
            <w:right w:w="108" w:type="dxa"/>
          </w:tblCellMar>
        </w:tblPrEx>
        <w:tc>
          <w:tcPr>
            <w:tcW w:w="1777" w:type="dxa"/>
            <w:noWrap w:val="0"/>
            <w:vAlign w:val="center"/>
          </w:tcPr>
          <w:p w14:paraId="76C0F0B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开户银行：</w:t>
            </w:r>
          </w:p>
        </w:tc>
        <w:tc>
          <w:tcPr>
            <w:tcW w:w="2370" w:type="dxa"/>
            <w:noWrap w:val="0"/>
            <w:vAlign w:val="center"/>
          </w:tcPr>
          <w:p w14:paraId="5A1DE00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77" w:type="dxa"/>
            <w:noWrap w:val="0"/>
            <w:vAlign w:val="center"/>
          </w:tcPr>
          <w:p w14:paraId="1763B6FD">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开户银行：</w:t>
            </w:r>
          </w:p>
        </w:tc>
        <w:tc>
          <w:tcPr>
            <w:tcW w:w="2370" w:type="dxa"/>
            <w:noWrap w:val="0"/>
            <w:vAlign w:val="center"/>
          </w:tcPr>
          <w:p w14:paraId="5DB43B33">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5118D98B">
        <w:tblPrEx>
          <w:tblCellMar>
            <w:top w:w="0" w:type="dxa"/>
            <w:left w:w="108" w:type="dxa"/>
            <w:bottom w:w="0" w:type="dxa"/>
            <w:right w:w="108" w:type="dxa"/>
          </w:tblCellMar>
        </w:tblPrEx>
        <w:tc>
          <w:tcPr>
            <w:tcW w:w="1777" w:type="dxa"/>
            <w:noWrap w:val="0"/>
            <w:vAlign w:val="center"/>
          </w:tcPr>
          <w:p w14:paraId="5749B7D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账号：</w:t>
            </w:r>
          </w:p>
        </w:tc>
        <w:tc>
          <w:tcPr>
            <w:tcW w:w="2370" w:type="dxa"/>
            <w:noWrap w:val="0"/>
            <w:vAlign w:val="center"/>
          </w:tcPr>
          <w:p w14:paraId="34EEECC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77" w:type="dxa"/>
            <w:noWrap w:val="0"/>
            <w:vAlign w:val="center"/>
          </w:tcPr>
          <w:p w14:paraId="1071970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账号：</w:t>
            </w:r>
          </w:p>
        </w:tc>
        <w:tc>
          <w:tcPr>
            <w:tcW w:w="2370" w:type="dxa"/>
            <w:noWrap w:val="0"/>
            <w:vAlign w:val="center"/>
          </w:tcPr>
          <w:p w14:paraId="3635D6C5">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16587813">
        <w:tblPrEx>
          <w:tblCellMar>
            <w:top w:w="0" w:type="dxa"/>
            <w:left w:w="108" w:type="dxa"/>
            <w:bottom w:w="0" w:type="dxa"/>
            <w:right w:w="108" w:type="dxa"/>
          </w:tblCellMar>
        </w:tblPrEx>
        <w:tc>
          <w:tcPr>
            <w:tcW w:w="1777" w:type="dxa"/>
            <w:noWrap w:val="0"/>
            <w:vAlign w:val="center"/>
          </w:tcPr>
          <w:p w14:paraId="63C7CBC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电话：</w:t>
            </w:r>
          </w:p>
        </w:tc>
        <w:tc>
          <w:tcPr>
            <w:tcW w:w="2370" w:type="dxa"/>
            <w:noWrap w:val="0"/>
            <w:vAlign w:val="center"/>
          </w:tcPr>
          <w:p w14:paraId="13D8F3D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77" w:type="dxa"/>
            <w:noWrap w:val="0"/>
            <w:vAlign w:val="center"/>
          </w:tcPr>
          <w:p w14:paraId="0E42C20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电话：</w:t>
            </w:r>
          </w:p>
        </w:tc>
        <w:tc>
          <w:tcPr>
            <w:tcW w:w="2370" w:type="dxa"/>
            <w:noWrap w:val="0"/>
            <w:vAlign w:val="center"/>
          </w:tcPr>
          <w:p w14:paraId="5A9FB06A">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387D8241">
        <w:tblPrEx>
          <w:tblCellMar>
            <w:top w:w="0" w:type="dxa"/>
            <w:left w:w="108" w:type="dxa"/>
            <w:bottom w:w="0" w:type="dxa"/>
            <w:right w:w="108" w:type="dxa"/>
          </w:tblCellMar>
        </w:tblPrEx>
        <w:tc>
          <w:tcPr>
            <w:tcW w:w="1777" w:type="dxa"/>
            <w:noWrap w:val="0"/>
            <w:vAlign w:val="center"/>
          </w:tcPr>
          <w:p w14:paraId="7730F8ED">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传真：</w:t>
            </w:r>
          </w:p>
        </w:tc>
        <w:tc>
          <w:tcPr>
            <w:tcW w:w="2370" w:type="dxa"/>
            <w:noWrap w:val="0"/>
            <w:vAlign w:val="center"/>
          </w:tcPr>
          <w:p w14:paraId="77C0893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77" w:type="dxa"/>
            <w:noWrap w:val="0"/>
            <w:vAlign w:val="center"/>
          </w:tcPr>
          <w:p w14:paraId="57C3198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传真：</w:t>
            </w:r>
          </w:p>
        </w:tc>
        <w:tc>
          <w:tcPr>
            <w:tcW w:w="2370" w:type="dxa"/>
            <w:noWrap w:val="0"/>
            <w:vAlign w:val="center"/>
          </w:tcPr>
          <w:p w14:paraId="346AAF29">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0DC5797C">
        <w:tblPrEx>
          <w:tblCellMar>
            <w:top w:w="0" w:type="dxa"/>
            <w:left w:w="108" w:type="dxa"/>
            <w:bottom w:w="0" w:type="dxa"/>
            <w:right w:w="108" w:type="dxa"/>
          </w:tblCellMar>
        </w:tblPrEx>
        <w:tc>
          <w:tcPr>
            <w:tcW w:w="1777" w:type="dxa"/>
            <w:noWrap w:val="0"/>
            <w:vAlign w:val="center"/>
          </w:tcPr>
          <w:p w14:paraId="42D24207">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电子邮箱：</w:t>
            </w:r>
          </w:p>
        </w:tc>
        <w:tc>
          <w:tcPr>
            <w:tcW w:w="2370" w:type="dxa"/>
            <w:noWrap w:val="0"/>
            <w:vAlign w:val="center"/>
          </w:tcPr>
          <w:p w14:paraId="67EBA97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77" w:type="dxa"/>
            <w:noWrap w:val="0"/>
            <w:vAlign w:val="center"/>
          </w:tcPr>
          <w:p w14:paraId="0930810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电子邮箱：</w:t>
            </w:r>
          </w:p>
        </w:tc>
        <w:tc>
          <w:tcPr>
            <w:tcW w:w="2370" w:type="dxa"/>
            <w:noWrap w:val="0"/>
            <w:vAlign w:val="center"/>
          </w:tcPr>
          <w:p w14:paraId="5F7529F8">
            <w:pPr>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b w:val="0"/>
                <w:bCs/>
                <w:color w:val="auto"/>
                <w:sz w:val="27"/>
              </w:rPr>
            </w:pPr>
            <w:r>
              <w:rPr>
                <w:rFonts w:hint="eastAsia" w:ascii="宋体" w:hAnsi="宋体" w:eastAsia="宋体"/>
                <w:b/>
                <w:color w:val="auto"/>
                <w:sz w:val="27"/>
                <w:u w:val="single"/>
              </w:rPr>
              <w:t xml:space="preserve">        </w:t>
            </w:r>
          </w:p>
        </w:tc>
      </w:tr>
    </w:tbl>
    <w:p w14:paraId="224456A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5C0C47F7">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43"/>
        </w:rPr>
      </w:pPr>
      <w:r>
        <w:rPr>
          <w:color w:val="auto"/>
        </w:rPr>
        <w:br w:type="page"/>
      </w:r>
    </w:p>
    <w:p w14:paraId="2AA64FA1">
      <w:pPr>
        <w:pStyle w:val="3"/>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b/>
          <w:color w:val="auto"/>
          <w:sz w:val="31"/>
        </w:rPr>
      </w:pPr>
      <w:r>
        <w:rPr>
          <w:rFonts w:hint="eastAsia" w:ascii="宋体" w:hAnsi="宋体" w:eastAsia="宋体"/>
          <w:b/>
          <w:color w:val="auto"/>
          <w:sz w:val="28"/>
        </w:rPr>
        <w:t xml:space="preserve">第二部分  </w:t>
      </w:r>
      <w:r>
        <w:rPr>
          <w:rFonts w:hint="eastAsia" w:ascii="宋体" w:hAnsi="宋体" w:eastAsia="宋体"/>
          <w:b/>
          <w:color w:val="auto"/>
          <w:sz w:val="31"/>
        </w:rPr>
        <w:t xml:space="preserve"> </w:t>
      </w:r>
      <w:r>
        <w:rPr>
          <w:rFonts w:hint="eastAsia" w:ascii="宋体" w:hAnsi="宋体" w:eastAsia="宋体"/>
          <w:b/>
          <w:color w:val="auto"/>
          <w:sz w:val="28"/>
        </w:rPr>
        <w:t>通用条件</w:t>
      </w:r>
    </w:p>
    <w:p w14:paraId="41CE24A5">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1. 定义与解释</w:t>
      </w:r>
    </w:p>
    <w:p w14:paraId="5D125D33">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1.1  定义</w:t>
      </w:r>
    </w:p>
    <w:p w14:paraId="05A0058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除根据上下文另有其意义外，组成本合同的全部文件中的下列名词和用语应具有本款所赋予的含义：</w:t>
      </w:r>
    </w:p>
    <w:p w14:paraId="1DE2686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 “工程”是指按照本合同约定实施监理与相关服务的建设工程。</w:t>
      </w:r>
    </w:p>
    <w:p w14:paraId="572C97D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1.1.2 “委托人”是指本合同中委托监理与相关服务的一方，及其合法的继承人或受让人。</w:t>
      </w:r>
    </w:p>
    <w:p w14:paraId="50BBB09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1.1.3 “监理人”是指本合同中提供监理与相关服务的一方，及其合法的继承人。</w:t>
      </w:r>
    </w:p>
    <w:p w14:paraId="61E027E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1.1.4 “承包人”是指在工程范围内与委托人签订勘察、设计、施工等有关合同的当事人，及其合法的继承人。</w:t>
      </w:r>
    </w:p>
    <w:p w14:paraId="3D646A56">
      <w:pPr>
        <w:pageBreakBefore w:val="0"/>
        <w:widowControl w:val="0"/>
        <w:kinsoku/>
        <w:wordWrap/>
        <w:overflowPunct/>
        <w:topLinePunct w:val="0"/>
        <w:autoSpaceDE/>
        <w:autoSpaceDN/>
        <w:bidi w:val="0"/>
        <w:adjustRightInd/>
        <w:snapToGrid/>
        <w:spacing w:line="360" w:lineRule="auto"/>
        <w:ind w:firstLine="648" w:firstLineChars="240"/>
        <w:jc w:val="left"/>
        <w:textAlignment w:val="auto"/>
        <w:rPr>
          <w:rFonts w:hint="eastAsia" w:ascii="宋体" w:hAnsi="宋体" w:eastAsia="宋体"/>
          <w:color w:val="auto"/>
          <w:sz w:val="27"/>
        </w:rPr>
      </w:pPr>
      <w:r>
        <w:rPr>
          <w:rFonts w:hint="eastAsia" w:ascii="宋体" w:hAnsi="宋体" w:eastAsia="宋体"/>
          <w:color w:val="auto"/>
          <w:sz w:val="27"/>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4D2A10E3">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1.1.6 “相关服务”是指监理人受委托人的委托 ，按照本合同约定，在勘察、设计、保修等阶段提供的服务活动。</w:t>
      </w:r>
    </w:p>
    <w:p w14:paraId="0FC70E3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1.1.7 “正常工作”指本合同订立时通用条件和专用条件中约定的监理人的 工作 。</w:t>
      </w:r>
    </w:p>
    <w:p w14:paraId="144893D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1.1.8 “附加工作”是指本合同约定的正常工作以外监理人的工作。</w:t>
      </w:r>
    </w:p>
    <w:p w14:paraId="2498DB5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1.1.9 “项目监理机构”是指监理人派驻工程负责履行本合同的组织机构。</w:t>
      </w:r>
    </w:p>
    <w:p w14:paraId="4B2C0472">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1.1.10 “总监理工程师”是指由监理人的法定代表人书面授权，全面负责履行本合同、主持项目监理机构工作的注册监理工程师。</w:t>
      </w:r>
    </w:p>
    <w:p w14:paraId="6C70B42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1.1.11 “酬金”是指监理人履行本合同义务，委托人按照本合同约定给付监理人的金额。</w:t>
      </w:r>
    </w:p>
    <w:p w14:paraId="122A371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1.1.12 “正常工作酬金”是指监理人完成正常工作，委托人应给付监理人并在协议书中载明的签约酬金额。</w:t>
      </w:r>
    </w:p>
    <w:p w14:paraId="62ED6F3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1.1.13 “附加工作酬金”是指监理人完成附加工作，委托人应给付监理人的金额。</w:t>
      </w:r>
    </w:p>
    <w:p w14:paraId="0744BF98">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1.1.14 “一方”是指委托人或监理人；“双方”是指委托人和监理人；“第三方”是指除委托人和监理人以外的有关方。</w:t>
      </w:r>
    </w:p>
    <w:p w14:paraId="5F18FFA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1.1.15 “书面形式”是指合同书、信件和数据电文（包括电报、电传、传真、电子数据交换和电子邮件）等可以有形地表现所载内容的形式。</w:t>
      </w:r>
    </w:p>
    <w:p w14:paraId="2DFCDBE8">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1.1.16 “天”是指第一天零时至第二天零时的时间。</w:t>
      </w:r>
    </w:p>
    <w:p w14:paraId="449C26F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1.1.17“月”是指按公历从一个月中任何一天开始的一个公历月时间。</w:t>
      </w:r>
    </w:p>
    <w:p w14:paraId="715D5A6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1.1.18 “不可抗力”是指委托人和监理人在订立本合同时不可预见，在工程施工过程中不可避免发生并不能克服的自然灾害和社会性突发事件，如地震、海啸、瘟疫、水灾、骚乱、暴动、战争和专用条件约定的其他情形。</w:t>
      </w:r>
    </w:p>
    <w:p w14:paraId="5568B293">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1.2  解释</w:t>
      </w:r>
    </w:p>
    <w:p w14:paraId="4DB369DD">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1.2.1本合同使用中文书写、解释和说明。如专用条件约定使用两种及以上语言文字时，应以中文为准。</w:t>
      </w:r>
    </w:p>
    <w:p w14:paraId="2368C668">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1.2.2 组成本合同的下列文件彼此应能相互解释、互为说明。除专用条件另有约定外，本合同文件的解释顺序如下：</w:t>
      </w:r>
    </w:p>
    <w:p w14:paraId="227706F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（1）协议书；</w:t>
      </w:r>
    </w:p>
    <w:p w14:paraId="4F90CE1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（2）中标通知书（适用于招标工程）或委托书（适用于非招标工程）；</w:t>
      </w:r>
    </w:p>
    <w:p w14:paraId="59082F0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（3）专用条件及附录A、附录B；</w:t>
      </w:r>
    </w:p>
    <w:p w14:paraId="26523D4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（4）通用条件；</w:t>
      </w:r>
    </w:p>
    <w:p w14:paraId="1EAE8E2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（5）投标文件（适用于招标工程）或监理与相关服务建议书（适用于非招标工程）。</w:t>
      </w:r>
    </w:p>
    <w:p w14:paraId="18A8EAC0">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双方签订的补充协议与其他文件发生矛盾或歧义时，属于同一类内容的文件，应以最新签署的为准。</w:t>
      </w:r>
    </w:p>
    <w:p w14:paraId="0F61BB32">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2. 监理人的义务</w:t>
      </w:r>
    </w:p>
    <w:p w14:paraId="358E64F0">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2.1 监理的范围和工作内容</w:t>
      </w:r>
    </w:p>
    <w:p w14:paraId="5D01B46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2.1.1 监理范围在专用条件中约定。</w:t>
      </w:r>
    </w:p>
    <w:p w14:paraId="6DB2E90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2.1.2 除专用条件另有约定外，监理工作内容包括：</w:t>
      </w:r>
    </w:p>
    <w:p w14:paraId="0D3AD5A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（1）收到工程设计文件后编制监理规划，并在第一次工地会议7天前报委托人。根据有关规定和监理工作需要，编制监理实施细则；</w:t>
      </w:r>
    </w:p>
    <w:p w14:paraId="5FA429E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（2）熟悉工程设计文件，并参加由委托人主持的图纸会审和设计交底会议；</w:t>
      </w:r>
    </w:p>
    <w:p w14:paraId="00696350">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（3）参加由委托人主持的第一次工地会议；主持监理例会并根据工程需要主持或参加专题会议；</w:t>
      </w:r>
    </w:p>
    <w:p w14:paraId="77619F50">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（4）审查施工承包人提交的施工组织设计，重点审查其中的质量安全技术措施、专项施工方案与工程建设强制性标准的符合性；</w:t>
      </w:r>
    </w:p>
    <w:p w14:paraId="3D5DEFFA">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（5）检查施工承包人工程质量、安全生产管理制度及组织机构和人员资格； </w:t>
      </w:r>
    </w:p>
    <w:p w14:paraId="0A778D67">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（6）检查施工承包人专职安全生产管理人员的配备情况；</w:t>
      </w:r>
    </w:p>
    <w:p w14:paraId="6FCC9617">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（7）审查施工承包人提交的施工进度计划，核查承包人对施工进度计划的调整；</w:t>
      </w:r>
    </w:p>
    <w:p w14:paraId="1491113B">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（8）检查施工承包人的试验室；</w:t>
      </w:r>
    </w:p>
    <w:p w14:paraId="3F223467">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（9）审核施工分包人资质条件；</w:t>
      </w:r>
    </w:p>
    <w:p w14:paraId="27B99F24">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（10）查验施工承包人的施工测量放线成果；</w:t>
      </w:r>
    </w:p>
    <w:p w14:paraId="45916F2A">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（11）审查工程开工条件，对条件具备的签发开工令；</w:t>
      </w:r>
    </w:p>
    <w:p w14:paraId="770AC0B8">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（12）审查施工承包人报送的工程材料、构配件、设备质量证明文件的有效性和符合性，并按规定对用于工程的材料采取平行检验或见证取样方式进行抽检；</w:t>
      </w:r>
    </w:p>
    <w:p w14:paraId="32CB0739">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（13）审核施工承包人提交的工程款支付申请，签发或出具工程款支付证书，并报委托人审核、批准；</w:t>
      </w:r>
    </w:p>
    <w:p w14:paraId="423B434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（14）在巡视、旁站和检验过程中，发现工程质量、施工安全存在事故隐患的，要求施工承包人整改并报委托人；</w:t>
      </w:r>
    </w:p>
    <w:p w14:paraId="3E160A0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（15）经委托人同意，签发工程暂停令和复工令；</w:t>
      </w:r>
    </w:p>
    <w:p w14:paraId="11A630A3">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（16）审查施工承包人提交的采用新材料、新工艺、新技术、新设备的论证材料及相关验收标准；</w:t>
      </w:r>
    </w:p>
    <w:p w14:paraId="16D8FFB7">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（17）验收隐蔽工程、分部分项工程；</w:t>
      </w:r>
    </w:p>
    <w:p w14:paraId="3E1704FB">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（18）审查施工承包人提交的工程变更申请，协调处理施工进度调整、费用索赔、合同争议等事项；</w:t>
      </w:r>
    </w:p>
    <w:p w14:paraId="03E68A62">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（19）审查施工承包人提交的竣工验收申请，编写工程质量评估报告；</w:t>
      </w:r>
    </w:p>
    <w:p w14:paraId="64BB68F2">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（20）参加工程竣工验收，签署竣工验收意见；</w:t>
      </w:r>
    </w:p>
    <w:p w14:paraId="218FE3D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（21）审查施工承包人提交的竣工结算申请并报委托人；</w:t>
      </w:r>
    </w:p>
    <w:p w14:paraId="2435BD2E">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（22）编制、整理工程监理归档文件并报委托人。</w:t>
      </w:r>
    </w:p>
    <w:p w14:paraId="2D512A12">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2.1.3 相关服务的范围和内容在附录A中约定。</w:t>
      </w:r>
    </w:p>
    <w:p w14:paraId="583B84A0">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2.2  监理与相关服务依据</w:t>
      </w:r>
    </w:p>
    <w:p w14:paraId="4BA5F752">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2.2.1 监理依据包括：</w:t>
      </w:r>
    </w:p>
    <w:p w14:paraId="01194839">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（1）适用的法律、行政法规及部门规章；</w:t>
      </w:r>
    </w:p>
    <w:p w14:paraId="412CC6B0">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（2）与工程有关的标准；</w:t>
      </w:r>
    </w:p>
    <w:p w14:paraId="7AA6BBFC">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（3）工程设计及有关文件；</w:t>
      </w:r>
    </w:p>
    <w:p w14:paraId="4688D3AF">
      <w:pPr>
        <w:pageBreakBefore w:val="0"/>
        <w:widowControl w:val="0"/>
        <w:kinsoku/>
        <w:wordWrap/>
        <w:overflowPunct/>
        <w:topLinePunct w:val="0"/>
        <w:autoSpaceDE/>
        <w:autoSpaceDN/>
        <w:bidi w:val="0"/>
        <w:adjustRightInd/>
        <w:snapToGrid/>
        <w:spacing w:line="360" w:lineRule="auto"/>
        <w:ind w:firstLine="664" w:firstLineChars="246"/>
        <w:jc w:val="left"/>
        <w:textAlignment w:val="auto"/>
        <w:rPr>
          <w:rFonts w:hint="eastAsia" w:ascii="宋体" w:hAnsi="宋体" w:eastAsia="宋体"/>
          <w:color w:val="auto"/>
          <w:sz w:val="27"/>
        </w:rPr>
      </w:pPr>
      <w:r>
        <w:rPr>
          <w:rFonts w:hint="eastAsia" w:ascii="宋体" w:hAnsi="宋体" w:eastAsia="宋体"/>
          <w:color w:val="auto"/>
          <w:sz w:val="27"/>
        </w:rPr>
        <w:t xml:space="preserve"> （4）本合同及委托人与第三方签订的与实施工程有关的其他合同。</w:t>
      </w:r>
    </w:p>
    <w:p w14:paraId="2B12315F">
      <w:pPr>
        <w:pageBreakBefore w:val="0"/>
        <w:widowControl w:val="0"/>
        <w:kinsoku/>
        <w:wordWrap/>
        <w:overflowPunct/>
        <w:topLinePunct w:val="0"/>
        <w:autoSpaceDE/>
        <w:autoSpaceDN/>
        <w:bidi w:val="0"/>
        <w:adjustRightInd/>
        <w:snapToGrid/>
        <w:spacing w:line="360" w:lineRule="auto"/>
        <w:ind w:firstLine="793" w:firstLineChars="294"/>
        <w:jc w:val="left"/>
        <w:textAlignment w:val="auto"/>
        <w:rPr>
          <w:rFonts w:hint="eastAsia" w:ascii="宋体" w:hAnsi="宋体" w:eastAsia="宋体"/>
          <w:color w:val="auto"/>
          <w:sz w:val="27"/>
        </w:rPr>
      </w:pPr>
      <w:r>
        <w:rPr>
          <w:rFonts w:hint="eastAsia" w:ascii="宋体" w:hAnsi="宋体" w:eastAsia="宋体"/>
          <w:color w:val="auto"/>
          <w:sz w:val="27"/>
        </w:rPr>
        <w:t xml:space="preserve"> 双方根据工程的行业和地域特点，在专用条件中具体约定监理依据。</w:t>
      </w:r>
    </w:p>
    <w:p w14:paraId="2EA4DE1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2.2.2 相关服务依据在专用条件中约定。</w:t>
      </w:r>
    </w:p>
    <w:p w14:paraId="76FBB1F6">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2.3 项目监理机构和人员</w:t>
      </w:r>
    </w:p>
    <w:p w14:paraId="62F40D70">
      <w:pPr>
        <w:pageBreakBefore w:val="0"/>
        <w:widowControl w:val="0"/>
        <w:kinsoku/>
        <w:wordWrap/>
        <w:overflowPunct/>
        <w:topLinePunct w:val="0"/>
        <w:autoSpaceDE/>
        <w:autoSpaceDN/>
        <w:bidi w:val="0"/>
        <w:adjustRightInd/>
        <w:snapToGrid/>
        <w:spacing w:line="360" w:lineRule="auto"/>
        <w:ind w:firstLine="745" w:firstLineChars="276"/>
        <w:jc w:val="left"/>
        <w:textAlignment w:val="auto"/>
        <w:rPr>
          <w:rFonts w:hint="eastAsia" w:ascii="宋体" w:hAnsi="宋体" w:eastAsia="宋体"/>
          <w:color w:val="auto"/>
          <w:sz w:val="27"/>
        </w:rPr>
      </w:pPr>
      <w:r>
        <w:rPr>
          <w:rFonts w:hint="eastAsia" w:ascii="宋体" w:hAnsi="宋体" w:eastAsia="宋体"/>
          <w:color w:val="auto"/>
          <w:sz w:val="27"/>
        </w:rPr>
        <w:t xml:space="preserve"> 2.3.1 监理人应组建满足工作需要的项目监理机构，配备必要的检测设备。项目监理机构的主要人员应具有相应的资格条件。</w:t>
      </w:r>
    </w:p>
    <w:p w14:paraId="6B5BA84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2.3.2本合同履行过程中，总监理工程师及重要岗位监理人员应保持相对稳定，以保证监理工作正常进行。</w:t>
      </w:r>
    </w:p>
    <w:p w14:paraId="10043CF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5825422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2.3.4 监理人应及时更换有下列情形之一的监理人员：</w:t>
      </w:r>
    </w:p>
    <w:p w14:paraId="304549BE">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（1）严重过失行为的；</w:t>
      </w:r>
    </w:p>
    <w:p w14:paraId="0473D1A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（2）有违法行为不能履行职责的；</w:t>
      </w:r>
    </w:p>
    <w:p w14:paraId="11177F2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（3）涉嫌犯罪的；</w:t>
      </w:r>
    </w:p>
    <w:p w14:paraId="0F9406D0">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（4）不能胜任岗位职责的；</w:t>
      </w:r>
    </w:p>
    <w:p w14:paraId="48BC7A3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（5）严重违反职业道德的；</w:t>
      </w:r>
    </w:p>
    <w:p w14:paraId="31184FBD">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（6）专用条件约定的其他情形。</w:t>
      </w:r>
    </w:p>
    <w:p w14:paraId="3928187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2.3.5 委托人可要求监理人更换不能胜任本职工作的项目监理机构人员。</w:t>
      </w:r>
    </w:p>
    <w:p w14:paraId="0DB03E5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2.4 履行职责</w:t>
      </w:r>
    </w:p>
    <w:p w14:paraId="26BE9E38">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监理人应遵循职业道德准则和行为规范，严格按照法律法规、工程建设有关标准及本合同履行职责。</w:t>
      </w:r>
    </w:p>
    <w:p w14:paraId="2A394F8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2.4.1 在监理与相关服务范围内，委托人和承包人提出的意见和要求，监理人应及时提出处置意见。当委托人与承包人之间发生合同争议时，监理人应协助委托人、承包人协商解决。</w:t>
      </w:r>
    </w:p>
    <w:p w14:paraId="5E4A4B7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2.4.2 当委托人与承包人之间的合同争议提交仲裁机构仲裁或人民法院审理时，监理人应提供必要的证明资料。</w:t>
      </w:r>
    </w:p>
    <w:p w14:paraId="7BB79D9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2.4.3 监理人应在专用条件约定的授权范围内，处理委托人与承包人所签订合同的变更事宜。如果变更超过授权范围，应以书面形式报委托人批准。</w:t>
      </w:r>
    </w:p>
    <w:p w14:paraId="4362B30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在紧急情况下，为了保护财产和人身安全，监理人所发出的指令未能事先报委托人批准时，应在发出指令后的24小时内以书面形式报委托人。</w:t>
      </w:r>
    </w:p>
    <w:p w14:paraId="4886614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2.4.4 除专用条件另有约定外，监理人发现承包人的人员不能胜任本职工作的，有权要求承包人予以调换。</w:t>
      </w:r>
    </w:p>
    <w:p w14:paraId="6F653226">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2.5 提交报告</w:t>
      </w:r>
    </w:p>
    <w:p w14:paraId="4DD52C5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监理人应按专用条件约定的种类、时间和份数向委托人提交监理与相关服务的报告。</w:t>
      </w:r>
    </w:p>
    <w:p w14:paraId="5927CDF6">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2.6 文件资料</w:t>
      </w:r>
    </w:p>
    <w:p w14:paraId="5A8DB17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在本合同履行期内，监理人应在现场保留工作所用的图纸、报告及记录监理工作的相关文件。工程竣工后，应当按照档案管理规定将监理有关文件归档。</w:t>
      </w:r>
    </w:p>
    <w:p w14:paraId="469D39E4">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2.7 使用委托人的财产</w:t>
      </w:r>
    </w:p>
    <w:p w14:paraId="3C2F0F6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0E1CDE60">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3．委托人的义务</w:t>
      </w:r>
    </w:p>
    <w:p w14:paraId="1BB8A69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3.1 告知</w:t>
      </w:r>
    </w:p>
    <w:p w14:paraId="4AF00F18">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委托人应在委托人与承包人签订的合同中明确监理人、总监理工程师和授予项目监理机构的权限。如有变更，应及时通知承包人。</w:t>
      </w:r>
    </w:p>
    <w:p w14:paraId="47582091">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3.2 提供资料</w:t>
      </w:r>
    </w:p>
    <w:p w14:paraId="31F325E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委托人应按照附录B约定， 无偿 向监理人提供工程有关的资料。在本合同履行过程中，委托人应及时向监理人提供最新的与工程有关的资料。</w:t>
      </w:r>
    </w:p>
    <w:p w14:paraId="2FCEE927">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3.3 提供工作条件</w:t>
      </w:r>
    </w:p>
    <w:p w14:paraId="0F1BB75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委托人应为监理人完成监理与相关服务提供必要的条件。</w:t>
      </w:r>
    </w:p>
    <w:p w14:paraId="39F15B4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3.3.1 委托人应按照附录B约定，派遣相应的人员，提供房屋、设备，供监理人无偿使用。</w:t>
      </w:r>
    </w:p>
    <w:p w14:paraId="4F01ECF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3.3.2 委托人应负责协调工程建设中所有外部关系，为监理人履行本合同提供必要的外部条件。</w:t>
      </w:r>
    </w:p>
    <w:p w14:paraId="36EF0C14">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3.4 委托人代表</w:t>
      </w:r>
    </w:p>
    <w:p w14:paraId="4910C11E">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委托人应授权一名熟悉工程情况的代表，负责与监理人联系。委托人应在双方签订本合同后7天内，将委托人代表的姓名和职责书面告知监理人。当委托人更换委托人代表时，应提前7天通知监理人。</w:t>
      </w:r>
    </w:p>
    <w:p w14:paraId="4A8DF178">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3.5 委托人意见或要求</w:t>
      </w:r>
    </w:p>
    <w:p w14:paraId="241BEE7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在本合同约定的监理与相关服务工作范围内，委托人对承包人的任何意见或要求应通知监理人，由监理人向承包人发出相应指令。</w:t>
      </w:r>
    </w:p>
    <w:p w14:paraId="3B8A09EF">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3.6 答复</w:t>
      </w:r>
    </w:p>
    <w:p w14:paraId="77FF804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委托人应在专用条件约定的时间内，对监理人以书面形式提交并要求作出决定的事宜，给予书面答复。逾期未答复的，视为委托人认可。</w:t>
      </w:r>
    </w:p>
    <w:p w14:paraId="075B22AA">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3.7 支付</w:t>
      </w:r>
    </w:p>
    <w:p w14:paraId="58008DF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委托人应按本合同约定，向监理人支付酬金。</w:t>
      </w:r>
    </w:p>
    <w:p w14:paraId="15CA7FBF">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4. 违约责任</w:t>
      </w:r>
    </w:p>
    <w:p w14:paraId="3C570FDA">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4.1 监理人的违约责任</w:t>
      </w:r>
    </w:p>
    <w:p w14:paraId="218EFCC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监理人未履行本合同义务的，应承担相应的责任。</w:t>
      </w:r>
    </w:p>
    <w:p w14:paraId="322DC87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4.1.1 因监理人违反本合同约定给委托人造成损失的，监理人应当赔偿委托人损失。赔偿金额的确定方法在专用条件中约定。监理人承担部分赔偿责任的，其承担赔偿金额由双方协商确定。</w:t>
      </w:r>
    </w:p>
    <w:p w14:paraId="251E0D0D">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4.1.2 监理人向委托人的索赔不成立时，监理人应赔偿委托人由此发生的费用。</w:t>
      </w:r>
    </w:p>
    <w:p w14:paraId="189806E7">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4.2 委托人的违约责任</w:t>
      </w:r>
    </w:p>
    <w:p w14:paraId="27A8F4D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委托人未履行本合同义务的，应承担相应的责任。</w:t>
      </w:r>
    </w:p>
    <w:p w14:paraId="17B5577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4.2.1 委托人违反本合同约定造成监理人损失的，委托人应予以赔偿。</w:t>
      </w:r>
    </w:p>
    <w:p w14:paraId="4802689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4.2.2 委托人向监理人的索赔不成立时，应赔偿监理人由此引起的费用。</w:t>
      </w:r>
    </w:p>
    <w:p w14:paraId="0784799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4.2.3 委托人未能按期支付酬金超过28天，应按专用条件约定支付逾期付款利息。</w:t>
      </w:r>
    </w:p>
    <w:p w14:paraId="26C035B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4.3 除外责任</w:t>
      </w:r>
    </w:p>
    <w:p w14:paraId="1629B77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因非监理人的原因，且监理人无过错，发生工程质量事故、安全事故、工期延误等造成的损失，监理人不承担赔偿责任。</w:t>
      </w:r>
    </w:p>
    <w:p w14:paraId="50C9EFA9">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因不可抗力导致本合同全部或部分不能履行时，双方各自承担其因此而造成的损失、损害。</w:t>
      </w:r>
    </w:p>
    <w:p w14:paraId="57CD9361">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5. 支付</w:t>
      </w:r>
    </w:p>
    <w:p w14:paraId="3A6D780D">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5.1  支付货币</w:t>
      </w:r>
    </w:p>
    <w:p w14:paraId="3807A95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除专用条件另有约定外，酬金均以人民币支付。涉及外币支付的，所采用的货币种类、比例和汇率在专用条件中约定。</w:t>
      </w:r>
    </w:p>
    <w:p w14:paraId="3371DEC1">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5.2 支付申请</w:t>
      </w:r>
    </w:p>
    <w:p w14:paraId="1FA11CE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监理人应在本合同约定的每次应付款时间的7天前，向委托人提交支付申请书。支付申请书应当说明当期应付款总额，并列出当期应支付的款项及其金额。</w:t>
      </w:r>
    </w:p>
    <w:p w14:paraId="270523DF">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5.3 支付酬金</w:t>
      </w:r>
    </w:p>
    <w:p w14:paraId="68662F79">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支付的酬金包括正常工作酬金、附加工作酬金、合理化建议奖励金额及费用。</w:t>
      </w:r>
    </w:p>
    <w:p w14:paraId="48134784">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5.4  有争议部分的付款</w:t>
      </w:r>
    </w:p>
    <w:p w14:paraId="453699A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委托人对监理人提交的支付申请书有异议时，应当在收到监理人提交的支付申请书后7天内，以书面形式向监理人发出异议通知。无异议部分的款项应按期支付，有异议部分的款项按第7条约定办理。</w:t>
      </w:r>
    </w:p>
    <w:p w14:paraId="246E66D2">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6. 合同生效、变更、暂停、解除与终止</w:t>
      </w:r>
    </w:p>
    <w:p w14:paraId="4DDFF5D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6.1生效</w:t>
      </w:r>
    </w:p>
    <w:p w14:paraId="3123B0F9">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除法律另有规定或者专用条件另有约定外，委托人和监理人的法定代表人或其授权代理人在协议书上签字并盖单位章后本合同生效。</w:t>
      </w:r>
    </w:p>
    <w:p w14:paraId="6DF2BCF0">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6.2 变更</w:t>
      </w:r>
    </w:p>
    <w:p w14:paraId="621DAE8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6.2.1 任何一方提出变更请求时，双方经协商一致后可进行变更。</w:t>
      </w:r>
    </w:p>
    <w:p w14:paraId="38547CA0">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7F1001D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03DA9AAE">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6.2.4合同签订后，遇有与工程相关的法律法规、标准颁布或修订的，双方应遵照执行。由此引起监理与相关服务的范围、时间、酬金变化的，双方应通过协商进行相应调整。</w:t>
      </w:r>
    </w:p>
    <w:p w14:paraId="0C7D79DD">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6.2.5 因非监理人原因造成工程概算投资额或建筑安装工程费增加时，正常工作酬金应作相应调整。调整方法在专用条件中约定。</w:t>
      </w:r>
    </w:p>
    <w:p w14:paraId="7F9ABE33">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6.2.6 因工程规模、监理范围的变化导致监理人的正常工作量减少时，正常工作酬金应作相应调整。调整方法在专用条件中约定。</w:t>
      </w:r>
    </w:p>
    <w:p w14:paraId="6F38766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6.3 暂停与 解除</w:t>
      </w:r>
    </w:p>
    <w:p w14:paraId="141B202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除双方协商一致可以解除本合同外，当一方无正当理由未履行本合同约定的义务时，另一方可以根据本合同约定暂停履行本合同直至解除本合同。</w:t>
      </w:r>
    </w:p>
    <w:p w14:paraId="31993ABD">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7054C60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因解除本合同或解除监理人的部分义务导致监理人遭受的损失，除依法可以免除责任的情况外，应由委托人予以补偿，补偿金额由双方协商确定。</w:t>
      </w:r>
    </w:p>
    <w:p w14:paraId="4312B1C9">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解除本合同的协议必须采取书面形式，协议未达成之前，本合同仍然有效。</w:t>
      </w:r>
    </w:p>
    <w:p w14:paraId="6AEB11D3">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60F435D9">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14:paraId="6C2DD115">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14:paraId="5CC9ABB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6.3.4 监理人在专用条件5.3中约定的支付之日起28天后仍未收到委托人按本合同约定应付的款项，可向委托人发出催付通知。委托人接到通知14天后仍未支付或未 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23D75B1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6.3.5 因不可抗力致使本合同部分或全部不能履行时，一方应立即通知另一方，可暂停或解除本合同。</w:t>
      </w:r>
    </w:p>
    <w:p w14:paraId="61DB8982">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6.3.6 本合同解除后，本合同约定的有关结算、清理、争议解决方式的条件仍然有效。</w:t>
      </w:r>
    </w:p>
    <w:p w14:paraId="7AB7CE45">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6.4  终止</w:t>
      </w:r>
    </w:p>
    <w:p w14:paraId="39A1D88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以下条件全部满足时，本合同即告终止：</w:t>
      </w:r>
    </w:p>
    <w:p w14:paraId="4D0F6C3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（1）监理人完成本合同约定的全部工作；</w:t>
      </w:r>
    </w:p>
    <w:p w14:paraId="5FE7A22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（2）委托人与监理人结清并支付全部酬金。</w:t>
      </w:r>
    </w:p>
    <w:p w14:paraId="591B1170">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7. 争议解决</w:t>
      </w:r>
    </w:p>
    <w:p w14:paraId="59643757">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7.1 协商</w:t>
      </w:r>
    </w:p>
    <w:p w14:paraId="7F1F780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双方应本着诚信原则协商解决彼此间的争议。</w:t>
      </w:r>
    </w:p>
    <w:p w14:paraId="32271242">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7.2 调解</w:t>
      </w:r>
    </w:p>
    <w:p w14:paraId="38CB47D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如果双方不能在14天内或双方商定的其他时间内解决本合同争议，可以将其提交给专用条件约定的或事后达成协议的调解人进行调解。</w:t>
      </w:r>
    </w:p>
    <w:p w14:paraId="0386BDC8">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7.3 仲裁或诉讼</w:t>
      </w:r>
    </w:p>
    <w:p w14:paraId="043B85C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双方均有权不经调解直接向专用条件约定的仲裁机构申请仲裁或向有管辖权的人民法院提起诉讼。</w:t>
      </w:r>
    </w:p>
    <w:p w14:paraId="181BDE3F">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8. 其他</w:t>
      </w:r>
    </w:p>
    <w:p w14:paraId="03C30DFC">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8.1  外出考察费用</w:t>
      </w:r>
    </w:p>
    <w:p w14:paraId="52D093F3">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经委托人同意，监理人员外出考察发生的费用由委托人审核后支付。</w:t>
      </w:r>
    </w:p>
    <w:p w14:paraId="41AE530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8.2  检测费用</w:t>
      </w:r>
    </w:p>
    <w:p w14:paraId="00D25032">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委托人要求监理人进行的材料和设备检测所发生的费用，由委托人支付，支付时间在专用条件中约定。</w:t>
      </w:r>
    </w:p>
    <w:p w14:paraId="49DCC83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8.3  咨询费用</w:t>
      </w:r>
    </w:p>
    <w:p w14:paraId="67370B5E">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经委托人同意，根据工程需要由监理人组织的相关咨询论证会以及聘请相关专家等发生的费用由委托人支付，支付时间在专用条件中约定。</w:t>
      </w:r>
    </w:p>
    <w:p w14:paraId="26F5B730">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8.4  奖励</w:t>
      </w:r>
    </w:p>
    <w:p w14:paraId="50C80F1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监理人在服务过程中提出的合理化建议，使委托人获得经济效益的，双方在专用条件中约定奖励金额的确定方法。奖励金额在合理化建议被采纳后，与最近一期的正常工作酬金同期支付。</w:t>
      </w:r>
    </w:p>
    <w:p w14:paraId="34972FD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8.5  守法诚信</w:t>
      </w:r>
    </w:p>
    <w:p w14:paraId="065C3A49">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监理人及其工作人员不得从与实施工程有关的第三方处获得任何经济利益。</w:t>
      </w:r>
    </w:p>
    <w:p w14:paraId="7DE0BFBF">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8.6  保密</w:t>
      </w:r>
    </w:p>
    <w:p w14:paraId="47FF0A1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双方不得泄露对方申明的保密资料，亦不得泄露与实施工程有关的第三方所提供的保密资料，保密事项在专用条件中约定。</w:t>
      </w:r>
    </w:p>
    <w:p w14:paraId="44EE87D8">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8.7  通知</w:t>
      </w:r>
    </w:p>
    <w:p w14:paraId="5D2FD27C">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本合同涉及的通知均应当采用书面形式，并在送达对方时生效，收件人应书面签收。</w:t>
      </w:r>
    </w:p>
    <w:p w14:paraId="524217D1">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8.8  著作权</w:t>
      </w:r>
    </w:p>
    <w:p w14:paraId="13997C7F">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监理人对其编制的文件拥有著作权。</w:t>
      </w:r>
    </w:p>
    <w:p w14:paraId="0B47D236">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6643393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285FCBAA">
      <w:pPr>
        <w:pStyle w:val="3"/>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b/>
          <w:color w:val="auto"/>
          <w:sz w:val="31"/>
        </w:rPr>
      </w:pPr>
      <w:r>
        <w:rPr>
          <w:color w:val="auto"/>
        </w:rPr>
        <w:br w:type="page"/>
      </w:r>
      <w:r>
        <w:rPr>
          <w:rFonts w:hint="eastAsia" w:ascii="宋体" w:hAnsi="宋体" w:eastAsia="宋体"/>
          <w:b/>
          <w:color w:val="auto"/>
          <w:sz w:val="28"/>
        </w:rPr>
        <w:t>第三部分  专用条件</w:t>
      </w:r>
    </w:p>
    <w:p w14:paraId="6466F97C">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p>
    <w:p w14:paraId="2683CE57">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1. 定义与解释</w:t>
      </w:r>
    </w:p>
    <w:p w14:paraId="39FB0F5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1.2  解释</w:t>
      </w:r>
    </w:p>
    <w:p w14:paraId="43D721F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1.2.1 本合同文件除使用中文外，还可用 </w:t>
      </w:r>
      <w:r>
        <w:rPr>
          <w:rFonts w:hint="eastAsia" w:ascii="宋体" w:hAnsi="宋体" w:eastAsia="宋体"/>
          <w:b/>
          <w:color w:val="auto"/>
          <w:sz w:val="27"/>
          <w:u w:val="single"/>
        </w:rPr>
        <w:t>/</w:t>
      </w:r>
      <w:r>
        <w:rPr>
          <w:rFonts w:hint="eastAsia" w:ascii="宋体" w:hAnsi="宋体" w:eastAsia="宋体"/>
          <w:color w:val="auto"/>
          <w:sz w:val="27"/>
        </w:rPr>
        <w:t xml:space="preserve"> 。</w:t>
      </w:r>
    </w:p>
    <w:p w14:paraId="1918E28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1.2.2 约定本合同文件的解释顺序为： </w:t>
      </w:r>
      <w:r>
        <w:rPr>
          <w:rFonts w:hint="eastAsia" w:ascii="宋体" w:hAnsi="宋体" w:eastAsia="宋体"/>
          <w:b/>
          <w:color w:val="auto"/>
          <w:sz w:val="27"/>
          <w:u w:val="single"/>
        </w:rPr>
        <w:t>按通用条件执行</w:t>
      </w:r>
      <w:r>
        <w:rPr>
          <w:rFonts w:hint="eastAsia" w:ascii="宋体" w:hAnsi="宋体" w:eastAsia="宋体"/>
          <w:color w:val="auto"/>
          <w:sz w:val="27"/>
        </w:rPr>
        <w:t xml:space="preserve"> 。</w:t>
      </w:r>
    </w:p>
    <w:p w14:paraId="7B236D57">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2. 监理人义务</w:t>
      </w:r>
    </w:p>
    <w:p w14:paraId="5AA13EE6">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2.1 监理的范围和 内容</w:t>
      </w:r>
    </w:p>
    <w:p w14:paraId="1A25D02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2.1.1 监理范围包括： </w:t>
      </w:r>
      <w:r>
        <w:rPr>
          <w:rFonts w:hint="eastAsia" w:ascii="宋体" w:hAnsi="宋体" w:eastAsia="宋体"/>
          <w:b/>
          <w:color w:val="auto"/>
          <w:sz w:val="27"/>
          <w:u w:val="single"/>
        </w:rPr>
        <w:t>本项目范围内及相关的所有内容，以及根据项目实际需要由委托人安排的其他范畴内的项目监理工作</w:t>
      </w:r>
      <w:r>
        <w:rPr>
          <w:rFonts w:hint="eastAsia" w:ascii="宋体" w:hAnsi="宋体" w:eastAsia="宋体"/>
          <w:color w:val="auto"/>
          <w:sz w:val="27"/>
        </w:rPr>
        <w:t xml:space="preserve"> 。</w:t>
      </w:r>
    </w:p>
    <w:p w14:paraId="39F6B16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2.1.2 监理工作内容还包括： </w:t>
      </w:r>
      <w:r>
        <w:rPr>
          <w:rFonts w:hint="eastAsia" w:ascii="宋体" w:hAnsi="宋体" w:eastAsia="宋体"/>
          <w:b/>
          <w:color w:val="auto"/>
          <w:sz w:val="27"/>
          <w:u w:val="single"/>
        </w:rPr>
        <w:t>（1）督促、检查承包人严格执行合同和严格按照国家技术规范、标准、地方建筑安装规程以及设计图纸文件要求进行施工；核查施工过程中的主要部位、关键环节以及隐蔽工程的施工验收签证，控制工程质量，关健部位实行旁站监理制度；（2）分阶段核验及协调施工进度计划，及时提出调整意见，控制工程进度；（3）根据施工承包合同协议条款的付款规定，对已完合格工程计量并复核工程造价；（4）对于设计变更和技术洽商，除提出监理意见之外，应征得委托人意见，原则上由原设计单位进行确认或修改；（5）安全文明施工管理，协助、主持、审理工程中出现的质量事故的分析，提出处理意见；督促检查承包人按批准的处理方案进行处理，审核其事故报告；（6）参与各方组织协调，协助委托人定期召开工程协调会议，调解工程建设中的有关争议；（7）工程竣工后，审核承包人提交的竣工资料并归档，参与配合及协助工程结算价款的审查，协助委托人办理完成工程备案手续；（8）签发交工验收证书和工程缺陷责任终止证书；（9）监理期间实行24小时旁站服务 ；（10）督促承包人整理合同文件及施工技术档案资料；（11）审核竣工图纸和其他技术资料；（12）组织并参与工程初验，参与工程竣工验收，对工程质量提出评价意见；（13）编制监理工作竣工资料和项目工程最终总结；负责工程缺陷责任期（12个月）内的工程修复、检修、检验、实验及相关监理工作；（14）监督承包人严格按技术规范和设计文件施工，控制工程质量，重要工程部位督促承包人实施预控措施；（15）审查承包人提交的施工组织设计、施工技术方案和施工进度计划，并监督实施；（16）组织设计交底、图纸会审、工程例会（每周一次），审查设计变更</w:t>
      </w:r>
      <w:r>
        <w:rPr>
          <w:rFonts w:hint="eastAsia" w:ascii="宋体" w:hAnsi="宋体" w:eastAsia="宋体"/>
          <w:color w:val="auto"/>
          <w:sz w:val="27"/>
        </w:rPr>
        <w:t>。</w:t>
      </w:r>
    </w:p>
    <w:p w14:paraId="28043D61">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2.2 监理与相关服务依据</w:t>
      </w:r>
    </w:p>
    <w:p w14:paraId="099F063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2.2.1 监理依据包括： </w:t>
      </w:r>
      <w:r>
        <w:rPr>
          <w:rFonts w:hint="eastAsia" w:ascii="宋体" w:hAnsi="宋体" w:eastAsia="宋体"/>
          <w:b/>
          <w:color w:val="auto"/>
          <w:sz w:val="27"/>
          <w:u w:val="single"/>
        </w:rPr>
        <w:t>1、国家和地方现行的有关工程建设的法律、法规、规范、标准（地方的法规或规章与国家法规与规章不一致除外）；2、政策批准的建设规划及其它有关文件；3、经审查的本项目的设计文件，图纸及说明；4、与本工程项目有关的工程承包合同</w:t>
      </w:r>
      <w:r>
        <w:rPr>
          <w:rFonts w:hint="eastAsia" w:ascii="宋体" w:hAnsi="宋体" w:eastAsia="宋体"/>
          <w:color w:val="auto"/>
          <w:sz w:val="27"/>
        </w:rPr>
        <w:t xml:space="preserve"> 。</w:t>
      </w:r>
    </w:p>
    <w:p w14:paraId="1781866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2.2.2 相关服务依据包括： </w:t>
      </w:r>
      <w:r>
        <w:rPr>
          <w:rFonts w:hint="eastAsia" w:ascii="宋体" w:hAnsi="宋体" w:eastAsia="宋体"/>
          <w:b/>
          <w:color w:val="auto"/>
          <w:sz w:val="27"/>
          <w:u w:val="single"/>
        </w:rPr>
        <w:t>本委托监理合同、工程建设施工合同、本工程设计文件、现行的设计、施工、监理规范、规程、标准等</w:t>
      </w:r>
      <w:r>
        <w:rPr>
          <w:rFonts w:hint="eastAsia" w:ascii="宋体" w:hAnsi="宋体" w:eastAsia="宋体"/>
          <w:color w:val="auto"/>
          <w:sz w:val="27"/>
        </w:rPr>
        <w:t xml:space="preserve"> 。</w:t>
      </w:r>
    </w:p>
    <w:p w14:paraId="009EFFE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2.3项目监理机构和人员</w:t>
      </w:r>
    </w:p>
    <w:p w14:paraId="25A3D07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2.3.4 更换监理人员的其他情形： </w:t>
      </w:r>
      <w:r>
        <w:rPr>
          <w:rFonts w:hint="eastAsia" w:ascii="宋体" w:hAnsi="宋体" w:eastAsia="宋体"/>
          <w:b/>
          <w:color w:val="auto"/>
          <w:sz w:val="27"/>
          <w:u w:val="single"/>
        </w:rPr>
        <w:t>到场的监理人员（包括总监、专监等）、职业、 专业技术水平未达到监理工作要求的，不能满足合同的服务内容和质量等要求的，建设单位有权要求监理人对其进行更换</w:t>
      </w:r>
      <w:r>
        <w:rPr>
          <w:rFonts w:hint="eastAsia" w:ascii="宋体" w:hAnsi="宋体" w:eastAsia="宋体"/>
          <w:color w:val="auto"/>
          <w:sz w:val="27"/>
        </w:rPr>
        <w:t xml:space="preserve"> 。</w:t>
      </w:r>
    </w:p>
    <w:p w14:paraId="0B33D0BB">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2.4 履行职责</w:t>
      </w:r>
    </w:p>
    <w:p w14:paraId="7A2C925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2.4.3 对监理人的授权范围：</w:t>
      </w:r>
    </w:p>
    <w:p w14:paraId="478A356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2.4.3.1在工程质量监理上，委托人授予驻地监理机构承担《建设工程监理规范》及政府有关部门的相关规定要求的职责和权力。委托人在遵循技术规范的前提下保留质量问题处理的一票否决权。</w:t>
      </w:r>
    </w:p>
    <w:p w14:paraId="6E954670">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2.4.3.2在进度监理上，委托人授予驻地监理机构承担《建设工程监理规范》及政府有关部门的相关规定要求的职责和权力。委托人保留要求施工单位和驻地总监理工程师因工程进度滞后而采取进一步措施的权力。</w:t>
      </w:r>
    </w:p>
    <w:p w14:paraId="04EDE5E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2.4.3.3在工程费用监理上，委托人授予驻地总监理工程师现场计量核实工程量清单规定的任何已完工程的数量和价值，初审承包人每期计量支付证书，对不符合合同文件要求的工程项目的施工活动，有暂拒支付的权力，为委托人严把计量支付关。委托人保留计量支付的终审权以及价格调整的最终签订权。</w:t>
      </w:r>
    </w:p>
    <w:p w14:paraId="1A99F40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2.4.3.4在合同管理上，委托人授予驻地总监理工程师对工程变更和索赔的方案、数量、单价、金额的初审权，委托人保留工程变更和索赔的方案、数量、单价、金额的最终审定权。除上述权力外，委托人还授予驻地总监理工程师按《建设工程监理规范》及政府有关部门的相关规定要求的其它的合同管理职权</w:t>
      </w:r>
      <w:r>
        <w:rPr>
          <w:rFonts w:hint="eastAsia" w:ascii="宋体" w:hAnsi="宋体" w:eastAsia="宋体"/>
          <w:color w:val="auto"/>
          <w:sz w:val="27"/>
        </w:rPr>
        <w:t xml:space="preserve"> 。</w:t>
      </w:r>
    </w:p>
    <w:p w14:paraId="1D9BE46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在涉及工程延期 </w:t>
      </w:r>
      <w:r>
        <w:rPr>
          <w:rFonts w:hint="eastAsia" w:ascii="宋体" w:hAnsi="宋体" w:eastAsia="宋体"/>
          <w:b/>
          <w:color w:val="auto"/>
          <w:sz w:val="27"/>
          <w:u w:val="single"/>
        </w:rPr>
        <w:t>/</w:t>
      </w:r>
      <w:r>
        <w:rPr>
          <w:rFonts w:hint="eastAsia" w:ascii="宋体" w:hAnsi="宋体" w:eastAsia="宋体"/>
          <w:color w:val="auto"/>
          <w:sz w:val="27"/>
        </w:rPr>
        <w:t xml:space="preserve">  天内和（或）金额 </w:t>
      </w:r>
      <w:r>
        <w:rPr>
          <w:rFonts w:hint="eastAsia" w:ascii="宋体" w:hAnsi="宋体" w:eastAsia="宋体"/>
          <w:b/>
          <w:color w:val="auto"/>
          <w:sz w:val="27"/>
          <w:u w:val="single"/>
        </w:rPr>
        <w:t>/</w:t>
      </w:r>
      <w:r>
        <w:rPr>
          <w:rFonts w:hint="eastAsia" w:ascii="宋体" w:hAnsi="宋体" w:eastAsia="宋体"/>
          <w:color w:val="auto"/>
          <w:sz w:val="27"/>
        </w:rPr>
        <w:t xml:space="preserve">  万元内的变更，监理人不需请示委托人即可向承包人发布变更通知。</w:t>
      </w:r>
    </w:p>
    <w:p w14:paraId="44C110D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2.4.4 监理人有权要求承包人调换其人员的限制条件： </w:t>
      </w:r>
      <w:r>
        <w:rPr>
          <w:rFonts w:hint="eastAsia" w:ascii="宋体" w:hAnsi="宋体" w:eastAsia="宋体"/>
          <w:b/>
          <w:color w:val="auto"/>
          <w:sz w:val="27"/>
          <w:u w:val="single"/>
        </w:rPr>
        <w:t>事前应向委托人书面说明其理由，并征得委托人书面同意。对要求撤换施工人员有建议权</w:t>
      </w:r>
      <w:r>
        <w:rPr>
          <w:rFonts w:hint="eastAsia" w:ascii="宋体" w:hAnsi="宋体" w:eastAsia="宋体"/>
          <w:color w:val="auto"/>
          <w:sz w:val="27"/>
        </w:rPr>
        <w:t xml:space="preserve"> 。  </w:t>
      </w:r>
    </w:p>
    <w:p w14:paraId="37E9B001">
      <w:pPr>
        <w:pageBreakBefore w:val="0"/>
        <w:widowControl w:val="0"/>
        <w:kinsoku/>
        <w:wordWrap/>
        <w:overflowPunct/>
        <w:topLinePunct w:val="0"/>
        <w:autoSpaceDE/>
        <w:autoSpaceDN/>
        <w:bidi w:val="0"/>
        <w:adjustRightInd/>
        <w:snapToGrid/>
        <w:spacing w:line="360" w:lineRule="auto"/>
        <w:ind w:firstLine="129" w:firstLineChars="48"/>
        <w:jc w:val="left"/>
        <w:textAlignment w:val="auto"/>
        <w:rPr>
          <w:rFonts w:hint="eastAsia" w:ascii="宋体" w:hAnsi="宋体" w:eastAsia="宋体"/>
          <w:color w:val="auto"/>
          <w:sz w:val="27"/>
        </w:rPr>
      </w:pPr>
      <w:r>
        <w:rPr>
          <w:rFonts w:hint="eastAsia" w:ascii="宋体" w:hAnsi="宋体" w:eastAsia="宋体"/>
          <w:color w:val="auto"/>
          <w:sz w:val="27"/>
        </w:rPr>
        <w:t xml:space="preserve"> 2.5 提交报告</w:t>
      </w:r>
    </w:p>
    <w:p w14:paraId="39869E4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监理人应提交报告的种类(包括监理规划、监理月报及约定的专项报告)、时间和份数： </w:t>
      </w:r>
      <w:r>
        <w:rPr>
          <w:rFonts w:hint="eastAsia" w:ascii="宋体" w:hAnsi="宋体" w:eastAsia="宋体"/>
          <w:b/>
          <w:color w:val="auto"/>
          <w:sz w:val="27"/>
          <w:u w:val="single"/>
        </w:rPr>
        <w:t>监理文件资料：按《四川省建设工程项目监理工作质量检查标准》3.3.1——3.3.4办理，其中：编制监理规划、监理实施细则按该标准3.1.3实施。监理月报必须对当月工程形象，可能涉及工程造价，进行充分详细描述。工程竣工验收后30日内，提交工程监理总结报告。提交报告时间：监理规划、监理细则在工程开工前7天以内，每月3日前提交上月监理月报，每周五下班前应向甲方提交下周工作计划，工作计划应包含总监、各专监人员，其他一般文件5天内提交。紧急事项立即电话报告，书面文件1天内提交。资料份数均为4份</w:t>
      </w:r>
      <w:r>
        <w:rPr>
          <w:rFonts w:hint="eastAsia" w:ascii="宋体" w:hAnsi="宋体" w:eastAsia="宋体"/>
          <w:color w:val="auto"/>
          <w:sz w:val="27"/>
        </w:rPr>
        <w:t xml:space="preserve"> 。</w:t>
      </w:r>
    </w:p>
    <w:p w14:paraId="3C2CEB4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2.7 使用委托人的财产</w:t>
      </w:r>
    </w:p>
    <w:p w14:paraId="1C4B01B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附录B中由委托人无偿提供的房屋、设备的所有权属于： </w:t>
      </w:r>
      <w:r>
        <w:rPr>
          <w:rFonts w:hint="eastAsia" w:ascii="宋体" w:hAnsi="宋体" w:eastAsia="宋体"/>
          <w:b/>
          <w:color w:val="auto"/>
          <w:sz w:val="27"/>
          <w:u w:val="single"/>
        </w:rPr>
        <w:t>委托人</w:t>
      </w:r>
      <w:r>
        <w:rPr>
          <w:rFonts w:hint="eastAsia" w:ascii="宋体" w:hAnsi="宋体" w:eastAsia="宋体"/>
          <w:color w:val="auto"/>
          <w:sz w:val="27"/>
        </w:rPr>
        <w:t xml:space="preserve"> 。</w:t>
      </w:r>
    </w:p>
    <w:p w14:paraId="1987D5B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监理人应在本合同终止后 </w:t>
      </w:r>
      <w:r>
        <w:rPr>
          <w:rFonts w:hint="eastAsia" w:ascii="宋体" w:hAnsi="宋体" w:eastAsia="宋体"/>
          <w:b/>
          <w:color w:val="auto"/>
          <w:sz w:val="27"/>
          <w:u w:val="single"/>
        </w:rPr>
        <w:t>14</w:t>
      </w:r>
      <w:r>
        <w:rPr>
          <w:rFonts w:hint="eastAsia" w:ascii="宋体" w:hAnsi="宋体" w:eastAsia="宋体"/>
          <w:color w:val="auto"/>
          <w:sz w:val="27"/>
        </w:rPr>
        <w:t xml:space="preserve"> 天内移交委托人无偿提供的房屋、设备，移交的时间和方式为： </w:t>
      </w:r>
      <w:r>
        <w:rPr>
          <w:rFonts w:hint="eastAsia" w:ascii="宋体" w:hAnsi="宋体" w:eastAsia="宋体"/>
          <w:b/>
          <w:color w:val="auto"/>
          <w:sz w:val="27"/>
          <w:u w:val="single"/>
        </w:rPr>
        <w:t>合同终止后 15 天内，按附录 B 中的清单当面点清</w:t>
      </w:r>
      <w:r>
        <w:rPr>
          <w:rFonts w:hint="eastAsia" w:ascii="宋体" w:hAnsi="宋体" w:eastAsia="宋体"/>
          <w:color w:val="auto"/>
          <w:sz w:val="27"/>
        </w:rPr>
        <w:t xml:space="preserve"> 。</w:t>
      </w:r>
    </w:p>
    <w:p w14:paraId="5A880010">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 xml:space="preserve">3. 委托人义务  </w:t>
      </w:r>
    </w:p>
    <w:p w14:paraId="5F72A20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3.4 委托人代表</w:t>
      </w:r>
    </w:p>
    <w:p w14:paraId="262C0B1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委托人代表为： </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2F86923D">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3.6 答复</w:t>
      </w:r>
    </w:p>
    <w:p w14:paraId="78ACC22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委托人同意在 </w:t>
      </w:r>
      <w:r>
        <w:rPr>
          <w:rFonts w:hint="eastAsia" w:ascii="宋体" w:hAnsi="宋体" w:eastAsia="宋体"/>
          <w:b/>
          <w:color w:val="auto"/>
          <w:sz w:val="27"/>
          <w:u w:val="single"/>
        </w:rPr>
        <w:t>确认类： 7日历天 审批类： 14日历天 决策类： 21</w:t>
      </w:r>
      <w:r>
        <w:rPr>
          <w:rFonts w:hint="eastAsia" w:ascii="宋体" w:hAnsi="宋体" w:eastAsia="宋体"/>
          <w:color w:val="auto"/>
          <w:sz w:val="27"/>
        </w:rPr>
        <w:t xml:space="preserve"> 天内，对监理人书面提交并要求做出决定的事宜给予书面答复。</w:t>
      </w:r>
    </w:p>
    <w:p w14:paraId="098F1C15">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4. 违约责任</w:t>
      </w:r>
    </w:p>
    <w:p w14:paraId="6815FCD6">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4.1 监理人的违约责任</w:t>
      </w:r>
    </w:p>
    <w:p w14:paraId="2DDD7BB8">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4.1.1监理人赔偿金额按下列方法确定：</w:t>
      </w:r>
    </w:p>
    <w:p w14:paraId="6532E5B1">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赔偿金＝直接经济损失×正常工作酬金÷工程概算投资额（或建筑安装工程费）</w:t>
      </w:r>
    </w:p>
    <w:p w14:paraId="7A028BE3">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4.2 委托人的违约责任</w:t>
      </w:r>
    </w:p>
    <w:p w14:paraId="2E0A36D0">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4.2.3 委托人逾期付款利息按下列方法确定：</w:t>
      </w:r>
    </w:p>
    <w:p w14:paraId="22DC46B7">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逾期付款利息＝当期应付款总额×银行同期贷款利率×拖延支付天数</w:t>
      </w:r>
    </w:p>
    <w:p w14:paraId="79C3191B">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5. 支付</w:t>
      </w:r>
    </w:p>
    <w:p w14:paraId="050BBFC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5.1  支付货币</w:t>
      </w:r>
    </w:p>
    <w:p w14:paraId="6101726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币种为： </w:t>
      </w:r>
      <w:r>
        <w:rPr>
          <w:rFonts w:hint="eastAsia" w:ascii="宋体" w:hAnsi="宋体" w:eastAsia="宋体"/>
          <w:b/>
          <w:color w:val="auto"/>
          <w:sz w:val="27"/>
          <w:u w:val="single"/>
        </w:rPr>
        <w:t>人民币</w:t>
      </w:r>
      <w:r>
        <w:rPr>
          <w:rFonts w:hint="eastAsia" w:ascii="宋体" w:hAnsi="宋体" w:eastAsia="宋体"/>
          <w:color w:val="auto"/>
          <w:sz w:val="27"/>
        </w:rPr>
        <w:t xml:space="preserve"> ，比例为：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，汇率为：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 </w:t>
      </w:r>
    </w:p>
    <w:p w14:paraId="3194FAF2">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5.3 支付酬金</w:t>
      </w:r>
    </w:p>
    <w:p w14:paraId="5E349DA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正常工作酬金的支付：</w:t>
      </w:r>
    </w:p>
    <w:tbl>
      <w:tblPr>
        <w:tblStyle w:val="32"/>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0"/>
        <w:gridCol w:w="2184"/>
        <w:gridCol w:w="1600"/>
        <w:gridCol w:w="2911"/>
      </w:tblGrid>
      <w:tr w14:paraId="26C374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noWrap w:val="0"/>
            <w:vAlign w:val="center"/>
          </w:tcPr>
          <w:p w14:paraId="3D0059DC">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支付次数</w:t>
            </w:r>
          </w:p>
        </w:tc>
        <w:tc>
          <w:tcPr>
            <w:tcW w:w="2184" w:type="dxa"/>
            <w:noWrap w:val="0"/>
            <w:vAlign w:val="center"/>
          </w:tcPr>
          <w:p w14:paraId="6CE851AD">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支付时间</w:t>
            </w:r>
          </w:p>
        </w:tc>
        <w:tc>
          <w:tcPr>
            <w:tcW w:w="1600" w:type="dxa"/>
            <w:noWrap w:val="0"/>
            <w:vAlign w:val="center"/>
          </w:tcPr>
          <w:p w14:paraId="2D1BDD4B">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支付比例</w:t>
            </w:r>
          </w:p>
        </w:tc>
        <w:tc>
          <w:tcPr>
            <w:tcW w:w="2911" w:type="dxa"/>
            <w:noWrap w:val="0"/>
            <w:vAlign w:val="center"/>
          </w:tcPr>
          <w:p w14:paraId="5D17ABE7">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支付金额（万元）</w:t>
            </w:r>
          </w:p>
        </w:tc>
      </w:tr>
      <w:tr w14:paraId="1EFE5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155" w:hRule="atLeast"/>
        </w:trPr>
        <w:tc>
          <w:tcPr>
            <w:tcW w:w="1600" w:type="dxa"/>
            <w:noWrap w:val="0"/>
            <w:vAlign w:val="center"/>
          </w:tcPr>
          <w:p w14:paraId="407085A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首付款</w:t>
            </w:r>
          </w:p>
        </w:tc>
        <w:tc>
          <w:tcPr>
            <w:tcW w:w="2184" w:type="dxa"/>
            <w:noWrap w:val="0"/>
            <w:vAlign w:val="center"/>
          </w:tcPr>
          <w:p w14:paraId="1DBB311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s="宋体"/>
                <w:b w:val="0"/>
                <w:bCs/>
                <w:sz w:val="24"/>
                <w:szCs w:val="24"/>
                <w:highlight w:val="none"/>
                <w:lang w:val="en-US" w:eastAsia="zh-CN" w:bidi="ar"/>
              </w:rPr>
              <w:t>总工程量完成50%后</w:t>
            </w:r>
            <w:r>
              <w:rPr>
                <w:rFonts w:hint="eastAsia" w:ascii="宋体" w:hAnsi="宋体" w:cs="宋体"/>
                <w:b w:val="0"/>
                <w:bCs/>
                <w:sz w:val="24"/>
                <w:szCs w:val="24"/>
                <w:highlight w:val="none"/>
                <w:lang w:val="en-US" w:eastAsia="zh-CN" w:bidi="ar"/>
              </w:rPr>
              <w:t>30</w:t>
            </w:r>
            <w:r>
              <w:rPr>
                <w:rFonts w:hint="eastAsia" w:ascii="宋体" w:hAnsi="宋体" w:eastAsia="宋体" w:cs="宋体"/>
                <w:b w:val="0"/>
                <w:bCs/>
                <w:sz w:val="24"/>
                <w:szCs w:val="24"/>
                <w:highlight w:val="none"/>
                <w:lang w:val="en-US" w:eastAsia="zh-CN" w:bidi="ar"/>
              </w:rPr>
              <w:t>个工作日内</w:t>
            </w:r>
          </w:p>
        </w:tc>
        <w:tc>
          <w:tcPr>
            <w:tcW w:w="1600" w:type="dxa"/>
            <w:noWrap w:val="0"/>
            <w:vAlign w:val="center"/>
          </w:tcPr>
          <w:p w14:paraId="678FE96B">
            <w:pPr>
              <w:pageBreakBefore w:val="0"/>
              <w:numPr>
                <w:ilvl w:val="0"/>
                <w:numId w:val="0"/>
              </w:numPr>
              <w:tabs>
                <w:tab w:val="left" w:pos="0"/>
                <w:tab w:val="left" w:pos="780"/>
              </w:tabs>
              <w:kinsoku/>
              <w:wordWrap/>
              <w:overflowPunct/>
              <w:topLinePunct w:val="0"/>
              <w:autoSpaceDE/>
              <w:autoSpaceDN/>
              <w:bidi w:val="0"/>
              <w:snapToGrid w:val="0"/>
              <w:spacing w:line="360" w:lineRule="auto"/>
              <w:rPr>
                <w:rFonts w:hint="eastAsia" w:ascii="宋体" w:hAnsi="宋体" w:eastAsia="宋体"/>
                <w:color w:val="auto"/>
                <w:sz w:val="27"/>
              </w:rPr>
            </w:pPr>
            <w:r>
              <w:rPr>
                <w:rFonts w:hint="eastAsia" w:ascii="宋体" w:hAnsi="宋体" w:cs="宋体"/>
                <w:b w:val="0"/>
                <w:bCs/>
                <w:sz w:val="24"/>
                <w:szCs w:val="24"/>
                <w:highlight w:val="none"/>
                <w:lang w:val="en-US" w:eastAsia="zh-CN" w:bidi="ar"/>
              </w:rPr>
              <w:t>无息</w:t>
            </w:r>
            <w:r>
              <w:rPr>
                <w:rFonts w:hint="eastAsia" w:ascii="宋体" w:hAnsi="宋体" w:eastAsia="宋体" w:cs="宋体"/>
                <w:b w:val="0"/>
                <w:bCs/>
                <w:sz w:val="24"/>
                <w:szCs w:val="24"/>
                <w:highlight w:val="none"/>
                <w:lang w:val="en-US" w:eastAsia="zh-CN" w:bidi="ar"/>
              </w:rPr>
              <w:t>支付至暂定合同价款的40%</w:t>
            </w:r>
          </w:p>
        </w:tc>
        <w:tc>
          <w:tcPr>
            <w:tcW w:w="2911" w:type="dxa"/>
            <w:noWrap w:val="0"/>
            <w:vAlign w:val="center"/>
          </w:tcPr>
          <w:p w14:paraId="33D4BDE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lang w:val="en-US" w:eastAsia="zh-CN"/>
              </w:rPr>
            </w:pP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 xml:space="preserve">    </w:t>
            </w:r>
            <w:r>
              <w:rPr>
                <w:rFonts w:hint="eastAsia" w:ascii="宋体" w:hAnsi="宋体" w:eastAsia="宋体"/>
                <w:b/>
                <w:color w:val="auto"/>
                <w:sz w:val="27"/>
                <w:u w:val="single"/>
              </w:rPr>
              <w:t xml:space="preserve"> </w:t>
            </w:r>
          </w:p>
        </w:tc>
      </w:tr>
      <w:tr w14:paraId="7F8130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noWrap w:val="0"/>
            <w:vAlign w:val="center"/>
          </w:tcPr>
          <w:p w14:paraId="300494A2">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第</w:t>
            </w:r>
            <w:r>
              <w:rPr>
                <w:rFonts w:hint="eastAsia" w:ascii="宋体" w:hAnsi="宋体"/>
                <w:color w:val="auto"/>
                <w:sz w:val="27"/>
                <w:lang w:val="en-US" w:eastAsia="zh-CN"/>
              </w:rPr>
              <w:t>二</w:t>
            </w:r>
            <w:r>
              <w:rPr>
                <w:rFonts w:hint="eastAsia" w:ascii="宋体" w:hAnsi="宋体" w:eastAsia="宋体"/>
                <w:color w:val="auto"/>
                <w:sz w:val="27"/>
              </w:rPr>
              <w:t>次付款</w:t>
            </w:r>
          </w:p>
        </w:tc>
        <w:tc>
          <w:tcPr>
            <w:tcW w:w="2184" w:type="dxa"/>
            <w:noWrap w:val="0"/>
            <w:vAlign w:val="center"/>
          </w:tcPr>
          <w:p w14:paraId="118F15AC">
            <w:pPr>
              <w:pageBreakBefore w:val="0"/>
              <w:widowControl w:val="0"/>
              <w:kinsoku/>
              <w:wordWrap/>
              <w:overflowPunct/>
              <w:topLinePunct w:val="0"/>
              <w:autoSpaceDE/>
              <w:autoSpaceDN/>
              <w:bidi w:val="0"/>
              <w:adjustRightInd/>
              <w:snapToGrid/>
              <w:spacing w:line="360" w:lineRule="auto"/>
              <w:ind w:firstLineChars="0"/>
              <w:jc w:val="left"/>
              <w:textAlignment w:val="auto"/>
              <w:rPr>
                <w:rFonts w:hint="default" w:ascii="宋体" w:hAnsi="宋体" w:eastAsia="宋体"/>
                <w:color w:val="auto"/>
                <w:sz w:val="27"/>
                <w:lang w:val="en-US" w:eastAsia="zh-CN"/>
              </w:rPr>
            </w:pPr>
            <w:r>
              <w:rPr>
                <w:rFonts w:hint="eastAsia" w:ascii="宋体" w:hAnsi="宋体" w:eastAsia="宋体" w:cs="宋体"/>
                <w:b w:val="0"/>
                <w:bCs/>
                <w:sz w:val="24"/>
                <w:szCs w:val="24"/>
                <w:highlight w:val="none"/>
                <w:lang w:val="en-US" w:eastAsia="zh-CN" w:bidi="ar"/>
              </w:rPr>
              <w:t>完工验收合格后</w:t>
            </w:r>
            <w:r>
              <w:rPr>
                <w:rFonts w:hint="eastAsia" w:ascii="宋体" w:hAnsi="宋体" w:cs="宋体"/>
                <w:b w:val="0"/>
                <w:bCs/>
                <w:sz w:val="24"/>
                <w:szCs w:val="24"/>
                <w:highlight w:val="none"/>
                <w:lang w:val="en-US" w:eastAsia="zh-CN" w:bidi="ar"/>
              </w:rPr>
              <w:t>30</w:t>
            </w:r>
            <w:r>
              <w:rPr>
                <w:rFonts w:hint="eastAsia" w:ascii="宋体" w:hAnsi="宋体" w:eastAsia="宋体" w:cs="宋体"/>
                <w:b w:val="0"/>
                <w:bCs/>
                <w:sz w:val="24"/>
                <w:szCs w:val="24"/>
                <w:highlight w:val="none"/>
                <w:lang w:val="en-US" w:eastAsia="zh-CN" w:bidi="ar"/>
              </w:rPr>
              <w:t>个工作日内</w:t>
            </w:r>
          </w:p>
        </w:tc>
        <w:tc>
          <w:tcPr>
            <w:tcW w:w="1600" w:type="dxa"/>
            <w:noWrap w:val="0"/>
            <w:vAlign w:val="center"/>
          </w:tcPr>
          <w:p w14:paraId="416389A0">
            <w:pPr>
              <w:pageBreakBefore w:val="0"/>
              <w:widowControl w:val="0"/>
              <w:kinsoku/>
              <w:wordWrap/>
              <w:overflowPunct/>
              <w:topLinePunct w:val="0"/>
              <w:autoSpaceDE/>
              <w:autoSpaceDN/>
              <w:bidi w:val="0"/>
              <w:adjustRightInd/>
              <w:snapToGrid/>
              <w:spacing w:line="360" w:lineRule="auto"/>
              <w:ind w:firstLineChars="0"/>
              <w:jc w:val="left"/>
              <w:textAlignment w:val="auto"/>
              <w:rPr>
                <w:rFonts w:hint="default" w:ascii="宋体" w:hAnsi="宋体" w:eastAsia="宋体"/>
                <w:color w:val="auto"/>
                <w:sz w:val="27"/>
                <w:lang w:val="en-US"/>
              </w:rPr>
            </w:pPr>
            <w:r>
              <w:rPr>
                <w:rFonts w:hint="eastAsia" w:ascii="宋体" w:hAnsi="宋体" w:cs="宋体"/>
                <w:b w:val="0"/>
                <w:bCs/>
                <w:sz w:val="24"/>
                <w:szCs w:val="24"/>
                <w:highlight w:val="none"/>
                <w:lang w:val="en-US" w:eastAsia="zh-CN" w:bidi="ar"/>
              </w:rPr>
              <w:t>无息</w:t>
            </w:r>
            <w:r>
              <w:rPr>
                <w:rFonts w:hint="eastAsia" w:ascii="宋体" w:hAnsi="宋体" w:eastAsia="宋体" w:cs="宋体"/>
                <w:b w:val="0"/>
                <w:bCs/>
                <w:sz w:val="24"/>
                <w:szCs w:val="24"/>
                <w:highlight w:val="none"/>
                <w:lang w:val="en-US" w:eastAsia="zh-CN" w:bidi="ar"/>
              </w:rPr>
              <w:t>支付至暂定合同价款的70%</w:t>
            </w:r>
          </w:p>
        </w:tc>
        <w:tc>
          <w:tcPr>
            <w:tcW w:w="2911" w:type="dxa"/>
            <w:noWrap w:val="0"/>
            <w:vAlign w:val="center"/>
          </w:tcPr>
          <w:p w14:paraId="071A749D">
            <w:pPr>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宋体" w:hAnsi="宋体" w:eastAsia="宋体"/>
                <w:color w:val="auto"/>
                <w:sz w:val="27"/>
                <w:lang w:val="en-US" w:eastAsia="zh-CN"/>
              </w:rPr>
            </w:pPr>
            <w:r>
              <w:rPr>
                <w:rFonts w:hint="eastAsia" w:ascii="宋体" w:hAnsi="宋体"/>
                <w:b/>
                <w:color w:val="auto"/>
                <w:sz w:val="27"/>
                <w:u w:val="single"/>
                <w:lang w:val="en-US" w:eastAsia="zh-CN"/>
              </w:rPr>
              <w:t xml:space="preserve">       </w:t>
            </w:r>
          </w:p>
        </w:tc>
      </w:tr>
      <w:tr w14:paraId="6FC3E1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noWrap w:val="0"/>
            <w:vAlign w:val="center"/>
          </w:tcPr>
          <w:p w14:paraId="3BF9BC4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b w:val="0"/>
                <w:bCs/>
                <w:sz w:val="24"/>
                <w:szCs w:val="24"/>
                <w:highlight w:val="none"/>
                <w:lang w:val="en-US" w:eastAsia="zh-CN" w:bidi="ar"/>
              </w:rPr>
            </w:pPr>
            <w:r>
              <w:rPr>
                <w:rFonts w:hint="eastAsia" w:ascii="宋体" w:hAnsi="宋体" w:eastAsia="宋体" w:cs="Times New Roman"/>
                <w:color w:val="auto"/>
                <w:sz w:val="27"/>
                <w:lang w:val="en-US" w:eastAsia="zh-CN"/>
              </w:rPr>
              <w:t>第三次付款</w:t>
            </w:r>
          </w:p>
        </w:tc>
        <w:tc>
          <w:tcPr>
            <w:tcW w:w="2184" w:type="dxa"/>
            <w:noWrap w:val="0"/>
            <w:vAlign w:val="center"/>
          </w:tcPr>
          <w:p w14:paraId="1C50739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竣工结算审计完成后</w:t>
            </w:r>
            <w:r>
              <w:rPr>
                <w:rFonts w:hint="eastAsia" w:ascii="宋体" w:hAnsi="宋体" w:cs="宋体"/>
                <w:b w:val="0"/>
                <w:bCs/>
                <w:sz w:val="24"/>
                <w:szCs w:val="24"/>
                <w:highlight w:val="none"/>
                <w:lang w:val="en-US" w:eastAsia="zh-CN" w:bidi="ar"/>
              </w:rPr>
              <w:t>30</w:t>
            </w:r>
            <w:r>
              <w:rPr>
                <w:rFonts w:hint="eastAsia" w:ascii="宋体" w:hAnsi="宋体" w:eastAsia="宋体" w:cs="宋体"/>
                <w:b w:val="0"/>
                <w:bCs/>
                <w:sz w:val="24"/>
                <w:szCs w:val="24"/>
                <w:highlight w:val="none"/>
                <w:lang w:val="en-US" w:eastAsia="zh-CN" w:bidi="ar"/>
              </w:rPr>
              <w:t>个工作日内</w:t>
            </w:r>
          </w:p>
        </w:tc>
        <w:tc>
          <w:tcPr>
            <w:tcW w:w="1600" w:type="dxa"/>
            <w:noWrap w:val="0"/>
            <w:vAlign w:val="center"/>
          </w:tcPr>
          <w:p w14:paraId="435F43B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cs="宋体"/>
                <w:b w:val="0"/>
                <w:bCs/>
                <w:sz w:val="24"/>
                <w:szCs w:val="24"/>
                <w:highlight w:val="none"/>
                <w:lang w:val="en-US" w:eastAsia="zh-CN" w:bidi="ar"/>
              </w:rPr>
              <w:t>无息</w:t>
            </w:r>
            <w:r>
              <w:rPr>
                <w:rFonts w:hint="eastAsia" w:ascii="宋体" w:hAnsi="宋体" w:eastAsia="宋体" w:cs="宋体"/>
                <w:b w:val="0"/>
                <w:bCs/>
                <w:sz w:val="24"/>
                <w:szCs w:val="24"/>
                <w:highlight w:val="none"/>
                <w:lang w:val="en-US" w:eastAsia="zh-CN" w:bidi="ar"/>
              </w:rPr>
              <w:t>支付至按竣工结算审计审定的建安工程费计算的最终监理费用的97%</w:t>
            </w:r>
          </w:p>
        </w:tc>
        <w:tc>
          <w:tcPr>
            <w:tcW w:w="2911" w:type="dxa"/>
            <w:noWrap w:val="0"/>
            <w:vAlign w:val="center"/>
          </w:tcPr>
          <w:p w14:paraId="70DEDCDC">
            <w:pPr>
              <w:pageBreakBefore w:val="0"/>
              <w:widowControl w:val="0"/>
              <w:numPr>
                <w:ilvl w:val="0"/>
                <w:numId w:val="0"/>
              </w:numPr>
              <w:tabs>
                <w:tab w:val="left" w:pos="652"/>
              </w:tabs>
              <w:kinsoku/>
              <w:wordWrap/>
              <w:overflowPunct/>
              <w:topLinePunct w:val="0"/>
              <w:autoSpaceDE/>
              <w:autoSpaceDN/>
              <w:bidi w:val="0"/>
              <w:adjustRightInd/>
              <w:snapToGrid/>
              <w:spacing w:line="360" w:lineRule="auto"/>
              <w:jc w:val="left"/>
              <w:textAlignment w:val="auto"/>
              <w:rPr>
                <w:rFonts w:hint="default" w:ascii="宋体" w:hAnsi="宋体" w:eastAsia="宋体"/>
                <w:color w:val="auto"/>
                <w:sz w:val="27"/>
                <w:lang w:val="en-US" w:eastAsia="zh-CN"/>
              </w:rPr>
            </w:pPr>
            <w:r>
              <w:rPr>
                <w:rFonts w:hint="eastAsia" w:ascii="宋体" w:hAnsi="宋体"/>
                <w:b/>
                <w:color w:val="auto"/>
                <w:sz w:val="27"/>
                <w:u w:val="single"/>
                <w:lang w:val="en-US" w:eastAsia="zh-CN"/>
              </w:rPr>
              <w:t xml:space="preserve">       </w:t>
            </w:r>
          </w:p>
        </w:tc>
      </w:tr>
      <w:tr w14:paraId="2B7E39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noWrap w:val="0"/>
            <w:vAlign w:val="center"/>
          </w:tcPr>
          <w:p w14:paraId="03BA497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b w:val="0"/>
                <w:bCs/>
                <w:sz w:val="24"/>
                <w:szCs w:val="24"/>
                <w:highlight w:val="none"/>
                <w:lang w:val="en-US" w:eastAsia="zh-CN" w:bidi="ar"/>
              </w:rPr>
            </w:pPr>
            <w:r>
              <w:rPr>
                <w:rFonts w:hint="eastAsia" w:ascii="宋体" w:hAnsi="宋体" w:eastAsia="宋体"/>
                <w:color w:val="auto"/>
                <w:sz w:val="27"/>
              </w:rPr>
              <w:t>最后付款</w:t>
            </w:r>
          </w:p>
        </w:tc>
        <w:tc>
          <w:tcPr>
            <w:tcW w:w="2184" w:type="dxa"/>
            <w:noWrap w:val="0"/>
            <w:vAlign w:val="center"/>
          </w:tcPr>
          <w:p w14:paraId="0D5E296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s="宋体"/>
                <w:b w:val="0"/>
                <w:bCs/>
                <w:sz w:val="24"/>
                <w:szCs w:val="24"/>
                <w:highlight w:val="none"/>
                <w:lang w:val="en-US" w:eastAsia="zh-CN" w:bidi="ar"/>
              </w:rPr>
            </w:pPr>
            <w:r>
              <w:rPr>
                <w:rFonts w:hint="eastAsia" w:ascii="宋体" w:hAnsi="宋体" w:eastAsia="宋体" w:cs="宋体"/>
                <w:b w:val="0"/>
                <w:bCs/>
                <w:sz w:val="24"/>
                <w:szCs w:val="24"/>
                <w:highlight w:val="none"/>
                <w:lang w:val="en-US" w:eastAsia="zh-CN" w:bidi="ar"/>
              </w:rPr>
              <w:t>缺陷责任期满</w:t>
            </w:r>
          </w:p>
        </w:tc>
        <w:tc>
          <w:tcPr>
            <w:tcW w:w="1600" w:type="dxa"/>
            <w:noWrap w:val="0"/>
            <w:vAlign w:val="center"/>
          </w:tcPr>
          <w:p w14:paraId="22ABD26B">
            <w:pPr>
              <w:pageBreakBefore w:val="0"/>
              <w:widowControl w:val="0"/>
              <w:kinsoku/>
              <w:wordWrap/>
              <w:overflowPunct/>
              <w:topLinePunct w:val="0"/>
              <w:autoSpaceDE/>
              <w:autoSpaceDN/>
              <w:bidi w:val="0"/>
              <w:adjustRightInd/>
              <w:snapToGrid/>
              <w:spacing w:line="360" w:lineRule="auto"/>
              <w:ind w:firstLineChars="0"/>
              <w:jc w:val="left"/>
              <w:textAlignment w:val="auto"/>
              <w:rPr>
                <w:rFonts w:hint="default" w:ascii="宋体" w:hAnsi="宋体" w:eastAsia="宋体" w:cs="宋体"/>
                <w:b w:val="0"/>
                <w:bCs/>
                <w:sz w:val="24"/>
                <w:szCs w:val="24"/>
                <w:highlight w:val="none"/>
                <w:lang w:val="en-US" w:eastAsia="zh-CN" w:bidi="ar"/>
              </w:rPr>
            </w:pPr>
            <w:r>
              <w:rPr>
                <w:rFonts w:hint="eastAsia" w:ascii="宋体" w:hAnsi="宋体"/>
                <w:b/>
                <w:color w:val="auto"/>
                <w:sz w:val="27"/>
                <w:highlight w:val="none"/>
                <w:u w:val="single"/>
                <w:lang w:val="en-US" w:eastAsia="zh-CN"/>
              </w:rPr>
              <w:t>无息</w:t>
            </w:r>
            <w:r>
              <w:rPr>
                <w:rFonts w:hint="eastAsia" w:ascii="宋体" w:hAnsi="宋体" w:eastAsia="宋体"/>
                <w:b/>
                <w:color w:val="auto"/>
                <w:sz w:val="27"/>
                <w:u w:val="single"/>
                <w:lang w:val="en-US" w:eastAsia="zh-CN"/>
              </w:rPr>
              <w:t>支付剩余费用</w:t>
            </w:r>
          </w:p>
        </w:tc>
        <w:tc>
          <w:tcPr>
            <w:tcW w:w="2911" w:type="dxa"/>
            <w:noWrap w:val="0"/>
            <w:vAlign w:val="center"/>
          </w:tcPr>
          <w:p w14:paraId="0534C301">
            <w:pPr>
              <w:pageBreakBefore w:val="0"/>
              <w:widowControl w:val="0"/>
              <w:numPr>
                <w:ilvl w:val="0"/>
                <w:numId w:val="0"/>
              </w:numPr>
              <w:tabs>
                <w:tab w:val="left" w:pos="652"/>
              </w:tabs>
              <w:kinsoku/>
              <w:wordWrap/>
              <w:overflowPunct/>
              <w:topLinePunct w:val="0"/>
              <w:autoSpaceDE/>
              <w:autoSpaceDN/>
              <w:bidi w:val="0"/>
              <w:adjustRightInd/>
              <w:snapToGrid/>
              <w:spacing w:line="360" w:lineRule="auto"/>
              <w:jc w:val="left"/>
              <w:textAlignment w:val="auto"/>
              <w:rPr>
                <w:rFonts w:hint="eastAsia" w:ascii="宋体" w:hAnsi="宋体"/>
                <w:b/>
                <w:color w:val="auto"/>
                <w:sz w:val="27"/>
                <w:u w:val="single"/>
                <w:lang w:val="en-US" w:eastAsia="zh-CN"/>
              </w:rPr>
            </w:pPr>
            <w:r>
              <w:rPr>
                <w:rFonts w:hint="eastAsia" w:ascii="宋体" w:hAnsi="宋体" w:eastAsia="宋体"/>
                <w:b/>
                <w:color w:val="auto"/>
                <w:sz w:val="27"/>
                <w:u w:val="single"/>
              </w:rPr>
              <w:t>支付所有剩余应付正常工作监理酬金（按竣工结算审计审定建安费金额计算后的监理酬金剩余尾款）；</w:t>
            </w:r>
          </w:p>
        </w:tc>
      </w:tr>
    </w:tbl>
    <w:p w14:paraId="62D20A29">
      <w:pPr>
        <w:pStyle w:val="6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olor w:val="auto"/>
          <w:sz w:val="27"/>
        </w:rPr>
      </w:pPr>
      <w:r>
        <w:rPr>
          <w:rFonts w:hint="eastAsia" w:ascii="宋体" w:hAnsi="宋体" w:eastAsia="宋体"/>
          <w:color w:val="auto"/>
          <w:sz w:val="27"/>
        </w:rPr>
        <w:t xml:space="preserve">  </w:t>
      </w:r>
      <w:r>
        <w:rPr>
          <w:rFonts w:hint="eastAsia" w:ascii="宋体" w:hAnsi="宋体"/>
          <w:color w:val="auto"/>
          <w:sz w:val="28"/>
          <w:szCs w:val="28"/>
          <w:lang w:val="en-US" w:eastAsia="zh-CN"/>
        </w:rPr>
        <w:t>如合同支付与合同实施期间与最新的广汉市政府投资建设项目管理办法、广汉市政府投资项目工程变更管理办法相违背，按照文件要求执行。</w:t>
      </w:r>
    </w:p>
    <w:p w14:paraId="5BF1CAC0">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6. 合同生效、变更、暂停、解除与终止</w:t>
      </w:r>
      <w:bookmarkStart w:id="1" w:name="_GoBack"/>
      <w:bookmarkEnd w:id="1"/>
    </w:p>
    <w:p w14:paraId="471D4E26">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6.1 生效</w:t>
      </w:r>
    </w:p>
    <w:p w14:paraId="3EDC5F3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本合同生效条件： </w:t>
      </w:r>
      <w:r>
        <w:rPr>
          <w:rFonts w:hint="eastAsia" w:ascii="宋体" w:hAnsi="宋体" w:eastAsia="宋体"/>
          <w:b/>
          <w:color w:val="auto"/>
          <w:sz w:val="27"/>
          <w:u w:val="single"/>
        </w:rPr>
        <w:t>双方签字盖章生效</w:t>
      </w:r>
      <w:r>
        <w:rPr>
          <w:rFonts w:hint="eastAsia" w:ascii="宋体" w:hAnsi="宋体" w:eastAsia="宋体"/>
          <w:color w:val="auto"/>
          <w:sz w:val="27"/>
        </w:rPr>
        <w:t xml:space="preserve"> 。</w:t>
      </w:r>
    </w:p>
    <w:p w14:paraId="55344472">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6.2 变更</w:t>
      </w:r>
    </w:p>
    <w:p w14:paraId="47B76F4B">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w:t>
      </w:r>
      <w:r>
        <w:rPr>
          <w:rFonts w:hint="eastAsia" w:ascii="宋体" w:hAnsi="宋体"/>
          <w:color w:val="auto"/>
          <w:sz w:val="27"/>
          <w:lang w:val="en-US" w:eastAsia="zh-CN"/>
        </w:rPr>
        <w:t>1</w:t>
      </w:r>
      <w:r>
        <w:rPr>
          <w:rFonts w:hint="eastAsia" w:ascii="宋体" w:hAnsi="宋体" w:eastAsia="宋体"/>
          <w:color w:val="auto"/>
          <w:sz w:val="27"/>
        </w:rPr>
        <w:t xml:space="preserve"> 正常工作酬金增加额按下列方法确定： </w:t>
      </w:r>
    </w:p>
    <w:p w14:paraId="416E01D3">
      <w:pPr>
        <w:pageBreakBefore w:val="0"/>
        <w:widowControl w:val="0"/>
        <w:kinsoku/>
        <w:wordWrap/>
        <w:overflowPunct/>
        <w:topLinePunct w:val="0"/>
        <w:autoSpaceDE/>
        <w:autoSpaceDN/>
        <w:bidi w:val="0"/>
        <w:adjustRightInd/>
        <w:snapToGrid/>
        <w:spacing w:line="360" w:lineRule="auto"/>
        <w:ind w:firstLine="550" w:firstLineChars="204"/>
        <w:jc w:val="left"/>
        <w:textAlignment w:val="auto"/>
        <w:rPr>
          <w:rFonts w:hint="eastAsia" w:ascii="宋体" w:hAnsi="宋体" w:eastAsia="宋体"/>
          <w:color w:val="auto"/>
          <w:sz w:val="27"/>
        </w:rPr>
      </w:pPr>
      <w:r>
        <w:rPr>
          <w:rFonts w:hint="eastAsia" w:ascii="宋体" w:hAnsi="宋体" w:eastAsia="宋体"/>
          <w:color w:val="auto"/>
          <w:sz w:val="27"/>
        </w:rPr>
        <w:t xml:space="preserve"> 正常工作酬金增加额=工程投资额或建筑安装工程费增加额×正常工作酬金÷工程概算投资额（或建筑安装工程费）</w:t>
      </w:r>
    </w:p>
    <w:p w14:paraId="5E2550EE">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6.2.</w:t>
      </w:r>
      <w:r>
        <w:rPr>
          <w:rFonts w:hint="eastAsia" w:ascii="宋体" w:hAnsi="宋体"/>
          <w:color w:val="auto"/>
          <w:sz w:val="27"/>
          <w:lang w:val="en-US" w:eastAsia="zh-CN"/>
        </w:rPr>
        <w:t>2</w:t>
      </w:r>
      <w:r>
        <w:rPr>
          <w:rFonts w:hint="eastAsia" w:ascii="宋体" w:hAnsi="宋体" w:eastAsia="宋体"/>
          <w:color w:val="auto"/>
          <w:sz w:val="27"/>
        </w:rPr>
        <w:t xml:space="preserve"> 因工程规模、监理范围的变化导致监理人的正常工作量减少时，按减少工作量的比例从协议书约定的正常工作酬金中扣减相同比例的酬金。</w:t>
      </w:r>
    </w:p>
    <w:p w14:paraId="167F8A8E">
      <w:pPr>
        <w:pStyle w:val="65"/>
        <w:pageBreakBefore w:val="0"/>
        <w:widowControl w:val="0"/>
        <w:kinsoku/>
        <w:wordWrap/>
        <w:overflowPunct/>
        <w:topLinePunct w:val="0"/>
        <w:autoSpaceDE/>
        <w:autoSpaceDN/>
        <w:bidi w:val="0"/>
        <w:adjustRightInd/>
        <w:snapToGrid/>
        <w:spacing w:line="360" w:lineRule="auto"/>
        <w:textAlignment w:val="auto"/>
        <w:rPr>
          <w:rFonts w:hint="default" w:eastAsia="宋体"/>
          <w:color w:val="auto"/>
          <w:lang w:val="en-US" w:eastAsia="zh-CN"/>
        </w:rPr>
      </w:pPr>
      <w:r>
        <w:rPr>
          <w:rFonts w:hint="eastAsia" w:ascii="宋体" w:hAnsi="宋体"/>
          <w:color w:val="auto"/>
          <w:sz w:val="27"/>
          <w:lang w:val="en-US" w:eastAsia="zh-CN"/>
        </w:rPr>
        <w:t xml:space="preserve">6.2.3 </w:t>
      </w:r>
      <w:r>
        <w:rPr>
          <w:rFonts w:hint="eastAsia" w:ascii="宋体" w:hAnsi="宋体"/>
          <w:color w:val="auto"/>
          <w:sz w:val="28"/>
          <w:szCs w:val="28"/>
          <w:lang w:val="en-US" w:eastAsia="zh-CN"/>
        </w:rPr>
        <w:t>合同实施期间与最新的广汉市政府投资建设项目管理办法、广汉市政府投资项目工程变更管理办法相违背，按照文件要求执行。</w:t>
      </w:r>
    </w:p>
    <w:p w14:paraId="08680934">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7. 争议解决</w:t>
      </w:r>
    </w:p>
    <w:p w14:paraId="572689FE">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7.2  调解</w:t>
      </w:r>
    </w:p>
    <w:p w14:paraId="39DBCEC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本合同争议进行调解时，可提交 </w:t>
      </w:r>
      <w:r>
        <w:rPr>
          <w:rFonts w:hint="eastAsia" w:ascii="宋体" w:hAnsi="宋体" w:eastAsia="宋体"/>
          <w:b/>
          <w:color w:val="auto"/>
          <w:sz w:val="27"/>
          <w:u w:val="single"/>
        </w:rPr>
        <w:t>项目所在地建设行政主管部门</w:t>
      </w:r>
      <w:r>
        <w:rPr>
          <w:rFonts w:hint="eastAsia" w:ascii="宋体" w:hAnsi="宋体" w:eastAsia="宋体"/>
          <w:color w:val="auto"/>
          <w:sz w:val="27"/>
        </w:rPr>
        <w:t xml:space="preserve"> 进行调解。</w:t>
      </w:r>
    </w:p>
    <w:p w14:paraId="52F6AB22">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7.3  仲裁或诉讼</w:t>
      </w:r>
    </w:p>
    <w:p w14:paraId="5EBF91B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合同争议的最终解决方式为下列第 </w:t>
      </w:r>
      <w:r>
        <w:rPr>
          <w:rFonts w:hint="eastAsia" w:ascii="宋体" w:hAnsi="宋体" w:eastAsia="宋体"/>
          <w:b/>
          <w:color w:val="auto"/>
          <w:sz w:val="27"/>
          <w:u w:val="single"/>
        </w:rPr>
        <w:t>（2）</w:t>
      </w:r>
      <w:r>
        <w:rPr>
          <w:rFonts w:hint="eastAsia" w:ascii="宋体" w:hAnsi="宋体" w:eastAsia="宋体"/>
          <w:color w:val="auto"/>
          <w:sz w:val="27"/>
        </w:rPr>
        <w:t xml:space="preserve"> 种方式：</w:t>
      </w:r>
    </w:p>
    <w:p w14:paraId="1EC2473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（1）提请 </w:t>
      </w:r>
      <w:r>
        <w:rPr>
          <w:rFonts w:hint="eastAsia" w:ascii="宋体" w:hAnsi="宋体" w:eastAsia="宋体"/>
          <w:b/>
          <w:color w:val="auto"/>
          <w:sz w:val="27"/>
          <w:u w:val="single"/>
        </w:rPr>
        <w:t xml:space="preserve">        </w:t>
      </w:r>
      <w:r>
        <w:rPr>
          <w:rFonts w:hint="eastAsia" w:ascii="宋体" w:hAnsi="宋体" w:eastAsia="宋体"/>
          <w:color w:val="auto"/>
          <w:sz w:val="27"/>
        </w:rPr>
        <w:t xml:space="preserve"> 仲裁委员会进行仲裁。</w:t>
      </w:r>
    </w:p>
    <w:p w14:paraId="3847062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（2）向 </w:t>
      </w:r>
      <w:r>
        <w:rPr>
          <w:rFonts w:hint="eastAsia" w:ascii="宋体" w:hAnsi="宋体"/>
          <w:b/>
          <w:color w:val="auto"/>
          <w:sz w:val="27"/>
          <w:u w:val="single"/>
          <w:lang w:val="en-US" w:eastAsia="zh-CN"/>
        </w:rPr>
        <w:t>广汉市</w:t>
      </w:r>
      <w:r>
        <w:rPr>
          <w:rFonts w:hint="eastAsia" w:ascii="宋体" w:hAnsi="宋体" w:eastAsia="宋体"/>
          <w:color w:val="auto"/>
          <w:sz w:val="27"/>
        </w:rPr>
        <w:t xml:space="preserve"> 人民法院提起诉讼。</w:t>
      </w:r>
    </w:p>
    <w:p w14:paraId="4E0C37A6">
      <w:pPr>
        <w:pStyle w:val="5"/>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olor w:val="auto"/>
          <w:sz w:val="27"/>
        </w:rPr>
      </w:pPr>
      <w:r>
        <w:rPr>
          <w:rFonts w:hint="eastAsia" w:ascii="宋体" w:hAnsi="宋体" w:eastAsia="宋体"/>
          <w:b/>
          <w:color w:val="auto"/>
          <w:sz w:val="27"/>
        </w:rPr>
        <w:t>8. 其他</w:t>
      </w:r>
    </w:p>
    <w:p w14:paraId="2353EC1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b/>
          <w:color w:val="auto"/>
          <w:sz w:val="27"/>
        </w:rPr>
        <w:t xml:space="preserve">  </w:t>
      </w:r>
      <w:r>
        <w:rPr>
          <w:rFonts w:hint="eastAsia" w:ascii="宋体" w:hAnsi="宋体" w:eastAsia="宋体"/>
          <w:color w:val="auto"/>
          <w:sz w:val="27"/>
        </w:rPr>
        <w:t xml:space="preserve"> 8.2 检测费用</w:t>
      </w:r>
    </w:p>
    <w:p w14:paraId="630DFEF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委托人应在检测工作完成后 </w:t>
      </w:r>
      <w:r>
        <w:rPr>
          <w:rFonts w:hint="eastAsia" w:ascii="宋体" w:hAnsi="宋体" w:eastAsia="宋体"/>
          <w:b/>
          <w:color w:val="auto"/>
          <w:sz w:val="27"/>
          <w:u w:val="single"/>
        </w:rPr>
        <w:t>/</w:t>
      </w:r>
      <w:r>
        <w:rPr>
          <w:rFonts w:hint="eastAsia" w:ascii="宋体" w:hAnsi="宋体" w:eastAsia="宋体"/>
          <w:color w:val="auto"/>
          <w:sz w:val="27"/>
        </w:rPr>
        <w:t xml:space="preserve"> 天内支付检测费用。</w:t>
      </w:r>
    </w:p>
    <w:p w14:paraId="1980863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  8.3 咨询费用</w:t>
      </w:r>
    </w:p>
    <w:p w14:paraId="0049C9F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委托人应在咨询工作完成后 </w:t>
      </w:r>
      <w:r>
        <w:rPr>
          <w:rFonts w:hint="eastAsia" w:ascii="宋体" w:hAnsi="宋体" w:eastAsia="宋体"/>
          <w:b/>
          <w:color w:val="auto"/>
          <w:sz w:val="27"/>
          <w:u w:val="single"/>
        </w:rPr>
        <w:t>/</w:t>
      </w:r>
      <w:r>
        <w:rPr>
          <w:rFonts w:hint="eastAsia" w:ascii="宋体" w:hAnsi="宋体" w:eastAsia="宋体"/>
          <w:color w:val="auto"/>
          <w:sz w:val="27"/>
        </w:rPr>
        <w:t xml:space="preserve"> 天内支付咨询费用。</w:t>
      </w:r>
    </w:p>
    <w:p w14:paraId="265950BA">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8.4 奖励</w:t>
      </w:r>
    </w:p>
    <w:p w14:paraId="5EAD5CF2">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合理化建议的奖励金额按下列方法确定为：</w:t>
      </w:r>
    </w:p>
    <w:p w14:paraId="416FE474">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奖励金额＝工程投资节省额×奖励金额的比率；</w:t>
      </w:r>
    </w:p>
    <w:p w14:paraId="5FD998F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奖励金额的比率为 </w:t>
      </w:r>
      <w:r>
        <w:rPr>
          <w:rFonts w:hint="eastAsia" w:ascii="宋体" w:hAnsi="宋体" w:eastAsia="宋体"/>
          <w:b/>
          <w:color w:val="auto"/>
          <w:sz w:val="27"/>
          <w:u w:val="single"/>
        </w:rPr>
        <w:t>/</w:t>
      </w:r>
      <w:r>
        <w:rPr>
          <w:rFonts w:hint="eastAsia" w:ascii="宋体" w:hAnsi="宋体" w:eastAsia="宋体"/>
          <w:color w:val="auto"/>
          <w:sz w:val="27"/>
        </w:rPr>
        <w:t xml:space="preserve"> %。</w:t>
      </w:r>
    </w:p>
    <w:p w14:paraId="0585CC25">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8.6 保密</w:t>
      </w:r>
    </w:p>
    <w:p w14:paraId="3567D1B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委托人申明的保密事项和期限： </w:t>
      </w:r>
      <w:r>
        <w:rPr>
          <w:rFonts w:hint="eastAsia" w:ascii="宋体" w:hAnsi="宋体" w:eastAsia="宋体"/>
          <w:b/>
          <w:color w:val="auto"/>
          <w:sz w:val="27"/>
          <w:u w:val="single"/>
        </w:rPr>
        <w:t>永久</w:t>
      </w:r>
      <w:r>
        <w:rPr>
          <w:rFonts w:hint="eastAsia" w:ascii="宋体" w:hAnsi="宋体" w:eastAsia="宋体"/>
          <w:color w:val="auto"/>
          <w:sz w:val="27"/>
        </w:rPr>
        <w:t xml:space="preserve"> 。</w:t>
      </w:r>
    </w:p>
    <w:p w14:paraId="4C7E9B0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监理人申明的保密事项和期限： </w:t>
      </w:r>
      <w:r>
        <w:rPr>
          <w:rFonts w:hint="eastAsia" w:ascii="宋体" w:hAnsi="宋体" w:eastAsia="宋体"/>
          <w:b/>
          <w:color w:val="auto"/>
          <w:sz w:val="27"/>
          <w:u w:val="single"/>
        </w:rPr>
        <w:t>永久</w:t>
      </w:r>
      <w:r>
        <w:rPr>
          <w:rFonts w:hint="eastAsia" w:ascii="宋体" w:hAnsi="宋体" w:eastAsia="宋体"/>
          <w:color w:val="auto"/>
          <w:sz w:val="27"/>
        </w:rPr>
        <w:t xml:space="preserve"> 。</w:t>
      </w:r>
    </w:p>
    <w:p w14:paraId="60EFB4D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第三方申明的保密事项和期限： </w:t>
      </w:r>
      <w:r>
        <w:rPr>
          <w:rFonts w:hint="eastAsia" w:ascii="宋体" w:hAnsi="宋体" w:eastAsia="宋体"/>
          <w:b/>
          <w:color w:val="auto"/>
          <w:sz w:val="27"/>
          <w:u w:val="single"/>
        </w:rPr>
        <w:t>永久</w:t>
      </w:r>
      <w:r>
        <w:rPr>
          <w:rFonts w:hint="eastAsia" w:ascii="宋体" w:hAnsi="宋体" w:eastAsia="宋体"/>
          <w:color w:val="auto"/>
          <w:sz w:val="27"/>
        </w:rPr>
        <w:t xml:space="preserve"> 。</w:t>
      </w:r>
    </w:p>
    <w:p w14:paraId="581DCF03">
      <w:pPr>
        <w:pageBreakBefore w:val="0"/>
        <w:widowControl w:val="0"/>
        <w:kinsoku/>
        <w:wordWrap/>
        <w:overflowPunct/>
        <w:topLinePunct w:val="0"/>
        <w:autoSpaceDE/>
        <w:autoSpaceDN/>
        <w:bidi w:val="0"/>
        <w:adjustRightInd/>
        <w:snapToGrid/>
        <w:spacing w:line="360" w:lineRule="auto"/>
        <w:ind w:firstLine="259"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8.8 著作权</w:t>
      </w:r>
    </w:p>
    <w:p w14:paraId="3FB610CA">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r>
        <w:rPr>
          <w:rFonts w:hint="eastAsia" w:ascii="宋体" w:hAnsi="宋体" w:eastAsia="宋体"/>
          <w:color w:val="auto"/>
          <w:sz w:val="27"/>
        </w:rPr>
        <w:t xml:space="preserve"> 监理人在本合同履行期间及本合同终止后两年内出版涉及本工程的有关监理与相关服务的资料的限制条件：</w:t>
      </w:r>
    </w:p>
    <w:p w14:paraId="0460AEC0">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45A9BEA7">
      <w:pPr>
        <w:pStyle w:val="5"/>
        <w:pageBreakBefore w:val="0"/>
        <w:widowControl w:val="0"/>
        <w:kinsoku/>
        <w:wordWrap/>
        <w:overflowPunct/>
        <w:topLinePunct w:val="0"/>
        <w:autoSpaceDE/>
        <w:autoSpaceDN/>
        <w:bidi w:val="0"/>
        <w:adjustRightInd/>
        <w:snapToGrid/>
        <w:spacing w:before="0" w:after="0" w:line="360" w:lineRule="auto"/>
        <w:ind w:firstLine="260" w:firstLineChars="96"/>
        <w:jc w:val="left"/>
        <w:textAlignment w:val="auto"/>
        <w:rPr>
          <w:rFonts w:hint="eastAsia" w:ascii="宋体" w:hAnsi="宋体" w:eastAsia="宋体"/>
          <w:color w:val="auto"/>
          <w:sz w:val="27"/>
        </w:rPr>
      </w:pPr>
      <w:r>
        <w:rPr>
          <w:rFonts w:hint="eastAsia" w:ascii="宋体" w:hAnsi="宋体" w:eastAsia="宋体"/>
          <w:color w:val="auto"/>
          <w:sz w:val="27"/>
        </w:rPr>
        <w:t xml:space="preserve"> 9. 补充条款</w:t>
      </w:r>
    </w:p>
    <w:p w14:paraId="4BE083E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 监理人的人员</w:t>
      </w:r>
    </w:p>
    <w:p w14:paraId="3C7A181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 xml:space="preserve">9.1.1监理人派驻到项目所在地履行监理服务的主要监理机构人员应与附表中报送的人员名单及人数一致，监理人员不得擅自更换。若监理人因工作安排或其它原因，需要更换派驻到项目所在地履行监理服务的主要监理机构人员时，更换人员的资质不应低于原人员的资质，并应事先得到业主和招标人的书面批准。如监理人擅自更换人员的，委托人有权按下列规定的措施要求监理人承担违约金：（1）擅自更换总监理工程师 </w:t>
      </w:r>
      <w:r>
        <w:rPr>
          <w:rFonts w:hint="eastAsia" w:ascii="宋体" w:hAnsi="宋体"/>
          <w:b/>
          <w:color w:val="auto"/>
          <w:sz w:val="27"/>
          <w:u w:val="single"/>
          <w:lang w:val="en-US" w:eastAsia="zh-CN"/>
        </w:rPr>
        <w:t>8000</w:t>
      </w:r>
      <w:r>
        <w:rPr>
          <w:rFonts w:hint="eastAsia" w:ascii="宋体" w:hAnsi="宋体" w:eastAsia="宋体"/>
          <w:b/>
          <w:color w:val="auto"/>
          <w:sz w:val="27"/>
          <w:u w:val="single"/>
        </w:rPr>
        <w:t xml:space="preserve">元/次；（2）擅自更换专业监理工程师 </w:t>
      </w:r>
      <w:r>
        <w:rPr>
          <w:rFonts w:hint="eastAsia" w:ascii="宋体" w:hAnsi="宋体"/>
          <w:b/>
          <w:color w:val="auto"/>
          <w:sz w:val="27"/>
          <w:u w:val="single"/>
          <w:lang w:val="en-US" w:eastAsia="zh-CN"/>
        </w:rPr>
        <w:t>4000</w:t>
      </w:r>
      <w:r>
        <w:rPr>
          <w:rFonts w:hint="eastAsia" w:ascii="宋体" w:hAnsi="宋体" w:eastAsia="宋体"/>
          <w:b/>
          <w:color w:val="auto"/>
          <w:sz w:val="27"/>
          <w:u w:val="single"/>
        </w:rPr>
        <w:t>元/名/次；（3）擅自更换现场监理员2000元/名/次。监理人派驻到项目所在地履行监理服务的项目负责人及主要监理人员如下：                          。</w:t>
      </w:r>
    </w:p>
    <w:p w14:paraId="4649E9C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监理人应根据工程进度、难易程度、合同工期、现场条件等因素，建立现场监理机构，配备相应的人员和设备。监理人应合理调配监理机构人员的人数及进出场时间，以便很好地满足各阶段施工监理的需要。监理人应在本合同条款签订后7日之内将监理机构人员的进场安排计划报建管单位和委托人审批。若出于某种原因需要暂时离开现场时，必须提请建设管理单位同意后方可离开。监理机构应如实记录各监理机构人员及行政事务人员的出勤情况及工作内容，并在每月月末提交建设管理单位签字确认。尽管监理人已按监理规划中的人员进场计划派遣了监理机构人员，但若委托人认为现场监理机构人员仍不足以满足施工监理服务的需要而影响了对过程质量及进度的监控时，委托人有权要求监理单位另派监理机构人员。监理机构在接到通知后应立即执行委托人的指示，不得无故拖延。监理人因此增加的费用支出应视为已包括在其投标报价之中，委托人将不另行支付。</w:t>
      </w:r>
    </w:p>
    <w:p w14:paraId="61603A9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9.2 监理服务期限的延长或缩短：</w:t>
      </w:r>
    </w:p>
    <w:p w14:paraId="5122D4AE">
      <w:pPr>
        <w:pageBreakBefore w:val="0"/>
        <w:widowControl w:val="0"/>
        <w:kinsoku/>
        <w:wordWrap/>
        <w:overflowPunct/>
        <w:topLinePunct w:val="0"/>
        <w:autoSpaceDE/>
        <w:autoSpaceDN/>
        <w:bidi w:val="0"/>
        <w:adjustRightInd/>
        <w:snapToGrid/>
        <w:spacing w:line="360" w:lineRule="auto"/>
        <w:ind w:firstLineChars="0"/>
        <w:jc w:val="left"/>
        <w:textAlignment w:val="auto"/>
        <w:rPr>
          <w:rFonts w:hint="default" w:ascii="宋体" w:hAnsi="宋体" w:eastAsia="宋体"/>
          <w:b/>
          <w:color w:val="auto"/>
          <w:sz w:val="27"/>
          <w:u w:val="single"/>
          <w:lang w:val="en-US" w:eastAsia="zh-CN"/>
        </w:rPr>
      </w:pPr>
      <w:r>
        <w:rPr>
          <w:rFonts w:hint="eastAsia" w:ascii="宋体" w:hAnsi="宋体" w:eastAsia="宋体"/>
          <w:b/>
          <w:color w:val="auto"/>
          <w:sz w:val="27"/>
          <w:u w:val="single"/>
        </w:rPr>
        <w:t xml:space="preserve">9.2.1 </w:t>
      </w:r>
      <w:r>
        <w:rPr>
          <w:rFonts w:hint="eastAsia" w:ascii="宋体" w:hAnsi="宋体"/>
          <w:b/>
          <w:color w:val="auto"/>
          <w:sz w:val="27"/>
          <w:u w:val="single"/>
          <w:lang w:val="en-US" w:eastAsia="zh-CN"/>
        </w:rPr>
        <w:t xml:space="preserve"> / </w:t>
      </w:r>
    </w:p>
    <w:p w14:paraId="0C11676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9.3 监理人应配合委托人完成下列工作；</w:t>
      </w:r>
    </w:p>
    <w:p w14:paraId="3578927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9.3.1配合委托人与设计单位进行有关工程设计及技术方面问题的协商；9.3.2配合委托人与行政主管部门、质监站及其它外部关系的协调；9.3.3上述工作的相应报酬已经包含在监理人的投标报价和合同价款中。</w:t>
      </w:r>
    </w:p>
    <w:p w14:paraId="5F55136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9.4合同价款的相关约定</w:t>
      </w:r>
    </w:p>
    <w:p w14:paraId="50FC030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9.4.1合同价款中至少包含以下主要内容：</w:t>
      </w:r>
    </w:p>
    <w:p w14:paraId="31C6CAF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9.4.1.1合同约定的从项目开始到缺陷责任期满的全过程的工程监理服务工作和工程建设安全监理服务工作以及相关服务的全部内容。9.4.1.2进行全部监理工作内容所需的一切仪器、设备及费、税等，包括监理人员服务费；技术咨询服务费；现场经费；监理设施（包括除办公场所以外的办公设施和生活场所、设施，办公场所由建设单位提供）；检测仪器和试验设备等所有仪器、设备的购置费、使用费、管理费、利润、保险、税费、安全监理费等履行本工程施工监理职责的全部费用。</w:t>
      </w:r>
    </w:p>
    <w:p w14:paraId="2FBD5E8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9.4.1.3凡未言明的在招标文件规定的监理范围内的监理工作项目涉及的一切费用均认为是包含在合同价款中。</w:t>
      </w:r>
    </w:p>
    <w:p w14:paraId="4F399FC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9.4.1.4本项目监理工作的风险，包括由于非监理人原因而暂停或终止执行监理业务，其善后工作以及恢复执行监理业务的工作等额外工作的报酬均已包含在合同价款中。</w:t>
      </w:r>
    </w:p>
    <w:p w14:paraId="451D466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9.4.1.5监理人在报价时已经充分考虑自身的管理水平和本项目监理工作的所有风险，合同价款在合同实施期间不因政策性费率、物价和市场因素的变化等任何原因而调整。</w:t>
      </w:r>
    </w:p>
    <w:p w14:paraId="060C5E2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 监理人的违约</w:t>
      </w:r>
    </w:p>
    <w:p w14:paraId="675C311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9.5.1 如发生下列任一行为，将视为监理人违约：（1）监理人违反监理合同的规定，将监理服务的任何部分予以分包；（2）合同执行期间，监理机构人员不能胜任本职工作，而监理人又不能按委托人及授权代表要求限期更换； （3）监理机构人员严重失职造成重大工程事故或向承包人索贿或谋取私利，在工作期间徇私舞弊，给委托人造成损失；（4）合同执行期间，由于监理工程师未能在合理的时间内，发出进一步工作需要的图纸或指示，造成承包人进度延误或中断施工，致使委托人增加费用支出或工期延误；或由于监理的原因造成监理工程师对承包人所下达的指令不能按期落实，导致进度缓慢，工期延误，工程质量不达标；（5）未经委托人及授权代表同意，主要监理机构人员擅离岗位；或监理人参加本工程监理工作人员的出勤率较低（委托人对监理机构人员进行考勤记录，监理工作人员的工作日出勤率低于95%，或每位监理机构人员的出勤率低于90%。出勤率按监理机构人员进场时间表中规定值与监理机构人员实际出勤值进行统计）造成监理工作不力；（6）监理工程师或监理员对隐蔽工程或工程主要部位施工期间未进行旁站或跟班平行检查，监理机构在接到承包人要求检查的通知后4小时内未到场且过后又没有进行复检而造成质量问题；或对工程的抽检频率未达到国家相关质量验收规范、规程、标准以及施工合同规定要求，并且不按建设管理单位的指令予以纠正。（7）在监理服务期间，委托人及授权代表将对监理人派驻现场的监理机构人员的工作情况进行监督和检查，若委托人及授权代表认为监理人派驻现场的人员不能胜任其工作或有从事其他与监理工作相违背的活动，委托人有权书面要求监理人进行更换。人员更换在7天内完成，延迟一天承担违约金2000元/天·人。（8）若监理人拒绝按照委托人及授权代表指令更换委托人认为不能胜任该项工作的人员,或其主要项目监理人员(总监)经过2次以上仍然达不到委托人的要求,委托人及授权代表将认为监理人无能力按本补合同条款的规定继续履行本合同条款项下的监理服务工作,委托人有权单方面解除合同。如发生上述任一情况，委托人及授权代表可视监理机构违约的严重程度采取下列措施之一，并且所处的罚金或违约金委托人均直接从当期应支付的监理服务费中予以扣除：（a）人员无故缺岗的违约金：总监理工程师    500元/人·天专业监理工程师（无论何职务）</w:t>
      </w:r>
      <w:r>
        <w:rPr>
          <w:rFonts w:hint="eastAsia" w:ascii="宋体" w:hAnsi="宋体" w:eastAsia="宋体"/>
          <w:b/>
          <w:color w:val="auto"/>
          <w:sz w:val="27"/>
          <w:u w:val="single"/>
        </w:rPr>
        <w:tab/>
      </w:r>
      <w:r>
        <w:rPr>
          <w:rFonts w:hint="eastAsia" w:ascii="宋体" w:hAnsi="宋体" w:eastAsia="宋体"/>
          <w:b/>
          <w:color w:val="auto"/>
          <w:sz w:val="27"/>
          <w:u w:val="single"/>
        </w:rPr>
        <w:t xml:space="preserve">   200元/人·天监理员</w:t>
      </w:r>
      <w:r>
        <w:rPr>
          <w:rFonts w:hint="eastAsia" w:ascii="宋体" w:hAnsi="宋体" w:eastAsia="宋体"/>
          <w:b/>
          <w:color w:val="auto"/>
          <w:sz w:val="27"/>
          <w:u w:val="single"/>
        </w:rPr>
        <w:tab/>
      </w:r>
      <w:r>
        <w:rPr>
          <w:rFonts w:hint="eastAsia" w:ascii="宋体" w:hAnsi="宋体" w:eastAsia="宋体"/>
          <w:b/>
          <w:color w:val="auto"/>
          <w:sz w:val="27"/>
          <w:u w:val="single"/>
        </w:rPr>
        <w:tab/>
      </w:r>
      <w:r>
        <w:rPr>
          <w:rFonts w:hint="eastAsia" w:ascii="宋体" w:hAnsi="宋体" w:eastAsia="宋体"/>
          <w:b/>
          <w:color w:val="auto"/>
          <w:sz w:val="27"/>
          <w:u w:val="single"/>
        </w:rPr>
        <w:t xml:space="preserve">   100元/人·天连续3天以上的缺岗，按上述标准的双倍扣除违约金。（b）主要监理机构人员（专业监理工程师及其以上人员）一年内缺岗累计42天（含42天）者扣除3000元/人的违约金。（c）文件审批时效及处罚措施：每次未按时审批、传递或资料丢失按500元/次承担违约金。时间约定：常规审批表12小时内；确认类24小时内；决策类审批48小时。（d）委托人可按签署监理合同时监理人服务费的5%金额计扣监理单位违约金，该违约金从委托人应支付给监理人的报酬中扣除。即使交纳了违约金，并不免除监理人的违约行为造成委托人损失的赔偿以及监理人仍应按监理合同规定继续履行本工程施工及缺陷责任期过程中的监理服务；（e）委托人在向监理单位发出书面通知的14天之后可以单方面终止本监理合同，并视情况没收监理单位的全部或部分履约担保。</w:t>
      </w:r>
    </w:p>
    <w:p w14:paraId="0A6CE98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9.5.2 监理机构或其任何成员、职员、雇员在合同期内执行任务，必须严格遵守所有安全工作法律、法规、规章及规程，凡因监理机构或其任何成员、职员、雇员违章或过失导致自身或他人人身伤害或设备损坏，监理机构应负全部责任。</w:t>
      </w:r>
    </w:p>
    <w:p w14:paraId="0FA5B98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9.5.3 如果因为监理机构监理不当而造成的质量、安全事故，应当由监理人承担相应的经济和法律责任，并赔偿因此给委托人造成的全部经济损失。</w:t>
      </w:r>
    </w:p>
    <w:p w14:paraId="1BA83BA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9.5.4 监理人应对其签字确认的所有资料（如：隐蔽资料、技术核定、工程变更、签证、索赔补偿、竣工图及竣工资料等）的真实性承担责任，若因其签字确认事项虚假或存在重大偏差造成工程造价和投资增加，监理人应承担虚假或重大偏差资料造成的工程造价和投资增加额以及委托人的其他所有经济损失，同时委托人视其损失大小和性质，保留追究监理人法律责任的权利，并向监理人行业主管部门反映，监理人并应承担委托人为追偿损失额所发生的律师费、诉讼费、鉴定费等。</w:t>
      </w:r>
    </w:p>
    <w:p w14:paraId="31B62CF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9.5.5 监理机构、监理机构或其任何成员、职员、雇员在履行本合同条款过程中，不得收受本合同条款外任何佣金、回扣或其他费用，也不得向与本合同条款所述项目有关的人员或单位报销任何费用。在本合同条款有效期内，监理人或其任何关联企业均不得参与为工程项目提供设备、材料、物品或报销活动。按违规金额（回扣、佣金等）的10倍支付委托人违约金并赔偿委托人相应损失或移交国家司法机关进行惩罚。</w:t>
      </w:r>
    </w:p>
    <w:p w14:paraId="2C0B8C3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9.5.6 监理人在监理过程中，不得泄露委托人申明的秘密，监理人亦不得泄露设计人、承包人等提供并申明的秘密。监理机构应对委托人提供的资料保存、保密，在监理服务完成后与工程竣工资料一道移交委托人；若发生泄密事件，则责任方应承担相应责任。</w:t>
      </w:r>
    </w:p>
    <w:p w14:paraId="65B802B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9.5.7若施工中因监理人工作失误导致返工，委托人可监理人每次承担</w:t>
      </w:r>
      <w:r>
        <w:rPr>
          <w:rFonts w:hint="eastAsia" w:ascii="宋体" w:hAnsi="宋体"/>
          <w:b/>
          <w:color w:val="auto"/>
          <w:sz w:val="27"/>
          <w:u w:val="single"/>
          <w:lang w:val="en-US" w:eastAsia="zh-CN"/>
        </w:rPr>
        <w:t>100-400</w:t>
      </w:r>
      <w:r>
        <w:rPr>
          <w:rFonts w:hint="eastAsia" w:ascii="宋体" w:hAnsi="宋体" w:eastAsia="宋体"/>
          <w:b/>
          <w:color w:val="auto"/>
          <w:sz w:val="27"/>
          <w:u w:val="single"/>
        </w:rPr>
        <w:t>元违约金，并要求监理人按专用条款 4.1.1 条赔偿委托人损失，在当期监理报酬中扣除，并进入监理报酬结算。若监理人在签署技术核定或经济签证单等文件中出现重大失误或错误，以及与事实不符等情况，委托人每发现一次按</w:t>
      </w:r>
      <w:r>
        <w:rPr>
          <w:rFonts w:hint="eastAsia" w:ascii="宋体" w:hAnsi="宋体"/>
          <w:b/>
          <w:color w:val="auto"/>
          <w:sz w:val="27"/>
          <w:u w:val="single"/>
          <w:lang w:val="en-US" w:eastAsia="zh-CN"/>
        </w:rPr>
        <w:t>200-800</w:t>
      </w:r>
      <w:r>
        <w:rPr>
          <w:rFonts w:hint="eastAsia" w:ascii="宋体" w:hAnsi="宋体" w:eastAsia="宋体"/>
          <w:b/>
          <w:color w:val="auto"/>
          <w:sz w:val="27"/>
          <w:u w:val="single"/>
        </w:rPr>
        <w:t>元要求监理人承担违约金，累计超过三次委托人按涉及金额的双倍对监理人进行经济处罚，如弄虚作假将移送纪委、司法处理。</w:t>
      </w:r>
    </w:p>
    <w:p w14:paraId="2826B38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9.5.8若因监理原因导致工期延误的，委托人可对监理人进行处罚，每延误一天，扣减监理费</w:t>
      </w:r>
      <w:r>
        <w:rPr>
          <w:rFonts w:hint="eastAsia" w:ascii="宋体" w:hAnsi="宋体"/>
          <w:b/>
          <w:color w:val="auto"/>
          <w:sz w:val="27"/>
          <w:u w:val="single"/>
          <w:lang w:val="en-US" w:eastAsia="zh-CN"/>
        </w:rPr>
        <w:t>1</w:t>
      </w:r>
      <w:r>
        <w:rPr>
          <w:rFonts w:hint="eastAsia" w:ascii="宋体" w:hAnsi="宋体" w:eastAsia="宋体"/>
          <w:b/>
          <w:color w:val="auto"/>
          <w:sz w:val="27"/>
          <w:u w:val="single"/>
        </w:rPr>
        <w:t>000元人民币作为违约金。因质量原因造成该工程不能按期完工，且监理人未能履行监理职责的，监理人承担同等责任，则取消其在委托人参与工程投标资格两年且应支付委托人误期违约金 1000 元/天（因委托人的原因，工期顺延）；</w:t>
      </w:r>
    </w:p>
    <w:p w14:paraId="2C8EAE1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9.5.9因监理人人员不按监理合同履行监理职责，或与施工单位串通给委托人造成损失的，委托人有权要求监理人更换监理人员，直到终止合同并要求监理人承担相应的赔偿责任，其赔偿金=直接经济损失×报酬比率×3 倍；</w:t>
      </w:r>
    </w:p>
    <w:p w14:paraId="0FE7585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9.5.10除提交监理资料外，监理人怠于履行合同约定的其他监理工作，每出现一次，监理人应向委托人支付违约金</w:t>
      </w:r>
      <w:r>
        <w:rPr>
          <w:rFonts w:hint="eastAsia" w:ascii="宋体" w:hAnsi="宋体"/>
          <w:b/>
          <w:color w:val="auto"/>
          <w:sz w:val="27"/>
          <w:u w:val="single"/>
          <w:lang w:val="en-US" w:eastAsia="zh-CN"/>
        </w:rPr>
        <w:t>1</w:t>
      </w:r>
      <w:r>
        <w:rPr>
          <w:rFonts w:hint="eastAsia" w:ascii="宋体" w:hAnsi="宋体" w:eastAsia="宋体"/>
          <w:b/>
          <w:color w:val="auto"/>
          <w:sz w:val="27"/>
          <w:u w:val="single"/>
        </w:rPr>
        <w:t>000元。因此给委托人造成损失的，由监理人赔偿损失；</w:t>
      </w:r>
    </w:p>
    <w:p w14:paraId="27389B3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9.5.11监理人或监理工程师与第三人串通损害委托人利益的，每出现一次，监理人向委托人支付违约金</w:t>
      </w:r>
      <w:r>
        <w:rPr>
          <w:rFonts w:hint="eastAsia" w:ascii="宋体" w:hAnsi="宋体"/>
          <w:b/>
          <w:color w:val="auto"/>
          <w:sz w:val="27"/>
          <w:u w:val="single"/>
          <w:lang w:val="en-US" w:eastAsia="zh-CN"/>
        </w:rPr>
        <w:t>4000</w:t>
      </w:r>
      <w:r>
        <w:rPr>
          <w:rFonts w:hint="eastAsia" w:ascii="宋体" w:hAnsi="宋体" w:eastAsia="宋体"/>
          <w:b/>
          <w:color w:val="auto"/>
          <w:sz w:val="27"/>
          <w:u w:val="single"/>
        </w:rPr>
        <w:t>元。因此给委托人造成损失的，由监理人赔偿损失，委托人保留进一步追究监理人民事赔偿责任或其他法律责任的权利；</w:t>
      </w:r>
    </w:p>
    <w:p w14:paraId="3AE7ECC0">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 xml:space="preserve">9.5.12除非本合同另有约定，监理人违反合同约定，每次 承担违约金 </w:t>
      </w:r>
      <w:r>
        <w:rPr>
          <w:rFonts w:hint="eastAsia" w:ascii="宋体" w:hAnsi="宋体"/>
          <w:b/>
          <w:color w:val="auto"/>
          <w:sz w:val="27"/>
          <w:u w:val="single"/>
          <w:lang w:val="en-US" w:eastAsia="zh-CN"/>
        </w:rPr>
        <w:t>1</w:t>
      </w:r>
      <w:r>
        <w:rPr>
          <w:rFonts w:hint="eastAsia" w:ascii="宋体" w:hAnsi="宋体" w:eastAsia="宋体"/>
          <w:b/>
          <w:color w:val="auto"/>
          <w:sz w:val="27"/>
          <w:u w:val="single"/>
        </w:rPr>
        <w:t>000 元。如合同中出现约定不一致的，以有利于委托人的条款为准。</w:t>
      </w:r>
    </w:p>
    <w:p w14:paraId="35B17DE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9.5.13除非本合同另有约定，监理人履行合同不符合合同约定或怠于履行合同义务，经委托人催告后拒不改正或不履行的，或者因监理人的履行导致本合同目的不能实现，委托人有权单方面解除本合同。</w:t>
      </w:r>
    </w:p>
    <w:p w14:paraId="08848A5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9.5.14除非本合同另有约定，因监理人原因导致的合同终止或解除的，如果委托人尚未支付监理人费用的，委托人有权不再支付监理人费用，同时监理人按本合同总金额费用的20%向委托人另行支付违约金。</w:t>
      </w:r>
    </w:p>
    <w:p w14:paraId="1E29213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9.5.15监理人违约金不足以弥补损失的，就不足部分，监理人还应向甲承担赔偿责任。</w:t>
      </w:r>
    </w:p>
    <w:p w14:paraId="4998581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9.5.16监理人违约，除承担上述违约责任外，监理人还应当承担委托人因主张权利产生的包括但不限于调查费、评估费、 鉴定费、律师费、公证费、诉讼费、财产保全费、担保费、 差旅费等合理费用；委托人有权在未支付的合同价款、履约保证金中扣除监理人应支付给委托人的违约金、赔偿金及其他费用等。</w:t>
      </w:r>
    </w:p>
    <w:p w14:paraId="0311595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9.6监理机构应向委托人提供的信息文件如下：①定期信息文件根据监理工程项目、范围及内容，随工程施工进展向委托人报送监理月报（每月25日前，报送上月监理月报），其主要内容为：施工质量情况；工程进展情况；进场施工机械设备及劳动力动态；合同变更和工程变更情况；工程支付情况；监理工作情况；工程建设大事记；安全文明生产情况；其他。②根据监理工程进展情况的不定期报告：关于工程设计和施工、变更、施工进展的建议；资金、资源投入及合理配置的建议；工程进展预测分析报告；工程质量事故处理报告和委托人合理要求提交的其他报告；工程阶段验收（应在阶段验收完成后 10 个工作日内出具报告），竣工验收监理工作报告（应在竣工验收前 10 日内出具）。③监理过程文件：监理日志；施工措施计划批复文件及施工进度调整批复文件；监理协调会议纪要文件；其他监理业务往来文件；质量事故处理文件；过程控制的影像资料。④建设监理业务完成后，向委托人提交工程建设监理档案资料。</w:t>
      </w:r>
    </w:p>
    <w:p w14:paraId="3C02016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9.7监理人在设备安装方面应完成的工作有（包括但不限于）：①协助委托人参与采购合同的管理；②组织对进场永久工程设备进行的质量检验和到货验收；③设备、构件工厂监造并催交工程设备；④设备现场安装及试车、联动调试的监理工作。⑤其他相关业务。</w:t>
      </w:r>
    </w:p>
    <w:p w14:paraId="36C7EA2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9.8监理人在施工方面应完成的工作有（包括但不限于）：①全面管理工程建设合同，依据委托人授权就承包人选择的分包人资格及分包项目进行审查；督促委托人按工程合同的规定，落实必须提供的施工条件，检查承包人开工准备工作，并在检查与审查合格后签发合同工程开工令。②审批承包人提交的施工组织设计、施工技术方案、技工质量保证措施、安全文明施工措施、作业规程、工艺试验成果、临建工程设计以及使用的原材料等。签发补充的设计文件、技术规范等，答复承包人提出的建议和意见等。③依据工程建设合同核查施工承包人进场施工设备的数量、种类、规格型号、设备状况是否与投标文件一致，是否能满足施工需要；核查承包人的施工项目部主要管理人员及劳动力进场情况、物资材料、设备进场情况；对施工承包人的组织状况、派驻现场的主要管理人员的资质和管理能力等做出评价。对上述各项中不符合工程建设合同要求、不能满足施工要求者，应及时要求施工承包人采取措施限期解决，并报告委托人。④工程进度控制：工程进度控制主要应从进度计划的编制及各控制性目标的确定、进度计划实施的检查监督与协调、进度的统计分析与进度计划的调整等几方面采取的措施进行控制。内容包括(但不限于)：a.协助委托人编制工程总进度计划。b.编制监理工程项目的施工控制性进度计划。c.依据经审查的工程控制性总进度计划和工程建设合同规定的主要关键项目(或节点)的施工控制工期，编制工程项目的控制性总进度计划，并由此确定进度控制关键线路、控制性施工项目及其工期、阶段性控制目标，以及监理工程项目的各合同控制性目标，作为监理工程项目总体的进度控制依据。d.依据监理工程项目的施工总进度计划编制各月度、季度、年度施工进度计划，其内容包括准备工程进度、计划施工部位和项目、计划完成工程量及应达到的工程形象、实现进度计划的措施以及相应的施工图纸供应计划、资金的使用计划等内容，并以此作为工程实施的阶段性进度控制的依据。e.以监理工程项目控制性总进度计划及阶段性的（年、季度）控制性进度计划为基础，在合同规定的期限内对施工承包人提交的实施进度计划（年、季、月）进行审核批准。f.逐日监督、检查、记录进度计划的实施，及时发出进度措施的指令，督促施工承包人采取措施保证进度计划的实现。g.对工程实际进度（施工部位及项目、完成的工程量及形象面貌）进行逐日的检查监督，对施工承包人投入的资源进行逐日的检查监督，并做好工程进度的记录和统计工作，并进行经常性和阶段性的工程实际进度与计划进度的对比分析，检查进度偏差的程度和产生的原因，分析预测进度偏差对后续施工工序和项目的影响程度，提出解决措施，并付诸实施。⑤施工质量控制：施工质量控制应依据工程建设合同文件、设计文件、技术规范与质量检验标准，对施工前准备工作进行检查，对施工工序与资源投入进行监督，以分项工程和工序过程为基础，对基础工程、隐蔽工程、分部分项工程通过巡视、检查、旁站、试验和验收等有效的措施和手段，对工程质量实行全面全过程监督和控制，并进行施工质量的评价，使本工程质量达到合格标准。内容包括(但不限于)：a.对监理工程项目的构成进行划分（分项工程、分部工程、单位工程等），并按施工程序明确质量控制工作流程，分析和确定质量控制重点及其应采取的监理措施，制订质量控制的各项实施细则、规定及其它管理制度。b.核实并签发施工必须遵循的设计要求、采用的技术标准、技术规程规范等质量文件；审核签发施工图纸。c.审查施工承包人的质量管理体系文件和措施，督促施工承包人质量管理体系的正常运作。d.组织向施工承包人移交与工程建设合同有关的测量控制网点；审查承包人提交的测量实施报告，其内容应包括测量人员资质、测量仪器及其它设备配备、测量工作规程、合同项目施测方案、测点保护等；审查施工承包人引伸的测量控制网点测量成果及关键部位施工测量放样放点成果，并进行必要的复测。e.审查施工承包人自建的实验室或委托试验的实验室，审查内容主要有资质、设备和仪器的计量认证文件、检验检测设备及其它设备的配备，实验室人员的构成及素质、实验室的工作规程规章制度等。f.审查批准施工承包人按工程建设合同规定进行的材料级配和配合比试验、工艺试验及确定各项施工参数试验；审查批准经各项试验提出的施工质量控制措施；审查批准有关施工质量的各项试验检测成果，并进行抽样检查试验，抽样频率不低于施工承包人抽样数量的 1／15 并形成相关定期报告提供委托人。g.审查进场工程材料的质量证明文件及施工承包人按有关规定进行的试验检测结果。监理机构应进行抽样检查试验，抽样频率不低于施工承包人抽样数量的 1／15 并形成相关定期报告提供委托人。不符合工程建设合同及国家有关规定的材料及其半成品不得投入施工、且应限期清理出场。h.检查施工前的其它各项准备工作是否完备（如图纸供应、水电供应、道路、场地、施工组织、施工设备以及其它环境影响因素），尽力避免可能影响施工质量的问题发生。i.对施工质量进行全过程全面的监督管理，在加强现场管理工作的前提下对关键部位、关键施工工序、特殊工序、关键施工时段（如混凝土浇筑，灌浆工作中的压水试验、浆液制备、施灌、封孔，锚杆插杆和注浆，锚索施工，安全监测仪器的安装及埋设等）必须实行旁站监理，对发现的可能影响施工质量的问题及时指令承包人采取措施解决，必要时发出停工、返工的指令。g.充分运用监理的质量检查鉴证的控制手段，对工程项目及时进行逐层次的逐项的（按分项工程、分部工程、单位工程等）施工质量认证和质量评定工作。及时组织进行隐蔽工程、重要部位、重要工序的质量检查验收和签证工作以及分部工程的检查验收工作。k.做好监理日志，随时记录施工中有关质量方面的问题，并对发生质量问题的施工现场及时拍照或录相。l.组织并主持定期或不定期的质量检查和质量分析会，分析、通报施工质量情况，协调有关单位间的施工活动以消除影响质量的各种外部干扰因素。m.代表或协助委托人组织进行中间验收、分部工程验收，监理机构应做好验收前的各项具体准备工作。n.审查施工承包人提交的质量事故报告；对质量事故进行调查、提出处理意见，并监督事故的处理。o.对工程质量进行经常性的分析，并定期提出工程质量报告和按规定格式编制工程质量统计报表(季、月)报委托人。⑥工程造价控制：监理机构应配备监理工程师，对工程建设合同费用、工程造价进行有效的控制。内容包括(但不限于)：a.协助委托人编制投资控制目标和分年度投资计划。编制监理工程项目以及各合同项目的投资控制目标，各年度、季度和月份的合理投资计划。审查承包人提交的资金流计划。b.对工程计量进行审核，实现对工程量总量的控制和阶段性的控制。c.审核承包人上报的申请结算工程量及工程费用等，并签发支付凭证。d.为控制和减少索赔事件的发生，监理机构应对工程建设合同的实施进行检查监督和经常性分析，及时发现和预测可能引起索赔的条件及事项，并采取措施尽力避免索赔事件的发生；对工程实施情况做好记录以备索赔要求提出后核查；索赔事件发生后应采取有效措施，尽力避免索赔事件的扩大和延伸；受理并公正处理索赔，提出处理意见，组织工程建设合同双方进行协商，做好调解协调工作。e.依据委托人授权审核各类工程变更（合同变更及设计修改、设计变更等），并对变更的可行性、经济性、合理性等提出处理意见，报委托人批准后下达变更指令。f.对工程建设合同费用支付与已完工程量、工程形象进行综合分析，编制每月、季、年工程建设合同的工程量和投资统计报表报委托人。按工程进展情况和资金到位的可能情况，进行经常性的工程费用分析，必要时提出投资计划调整、修改和采取相应措施的处理意见上报委托人。⑦施工安全监督：监理机构在安全监督管理工作中必须坚持“安全第一、预防为主”的原则，通过对施工生产中各种不安全因素的分析和预控制，避免安全事故的发生。内容包括（但不限于）：a.监理工程师必须进行施工安全检查、监督工作。b.检查督促施工承包人建立健全安全管理制度，督促施工承包人认真执行国家及有关部门颁发的安全生产法规、规定和工程建设合同对安全生产的规定。c.对施工生产及安全设施进行经常性的检查监督（由项目总监理工程师每月组织一次的定期施工现场全面安全检查并形成书面检查报告，同时做好日常安全检查），对违反安全生产规定的施工及时指令整改，施工单位拒不整改的应及时上报建设行政主管部门。d.协助委托人组织检查防洪度汛工作，检查施工承包人的工程防汛措施并监督实施。e.检查督促施工承包人按照工程建设合同规定和国家标准规定做好劳动保护、环境保护及水土保持工作，并将情况定期向委托人专题报告。f.监督施工单位的安全和工程保护情况，督促施工单位对工程、周围建（构）筑物的安全监测与保护。g.定期组织安全生产检查活动和安全生产评比活动。做好监理合同内工程建设项目的安全生产协调工作，协助委托人做好各工程建设合同间的安全生产协调工作。h.提供事故分析所需的一切监理资料，参加安全事故的调查分析，审查施工承包人的安全事故报告及安全报表，监督施工承包人对安全事故的处理。i.定期（每月）向委托人报告安全生产情况，并按规定编制监理工程项目的安全生产统计报表。对重大安全事故的处理必须及时向委托人报告。⑧组织协调：监理机构应通过沟通、调和与监理工程项目建设直接有关的各方关系，使工程项目建设各方及其建设活动协调一致，以实现工程建设合同预定的目标。内容包括（但不限于）：a.以实现总进度计划和工程建设合同工期为目标，做好各工程建设合同项目间的进度协调。b.以监理工程项目的施工总布置为依据，控制协调好各工程施工合同项目的施工布置，控制协调好各施工承包人对施工场地、施工道路的使用。c.以工程建设合同为依据，在突出保证关键项目施工的同时，协调好施工用水、用电的供应与分配，组织协调好施工材料及永久设备的供应，协调好共用大型施工设备的调配安排与使用。d.</w:t>
      </w:r>
      <w:r>
        <w:rPr>
          <w:rFonts w:hint="eastAsia" w:ascii="宋体" w:hAnsi="宋体" w:eastAsia="宋体"/>
          <w:b/>
          <w:color w:val="auto"/>
          <w:sz w:val="27"/>
          <w:u w:val="single"/>
        </w:rPr>
        <w:t>组织与主持定期的工地协调会议，编写各有关问题的协调处理意见及各种协调会议的纪要。⑨文明施工措施与施工期环境保护措施：检查和督促承包人严格按施工承包合同和招标文件的有关规定进行文明施工，做好施工区的文明施工管理工作；检查和督促承包人遵守环境保护的法律、法规和规章，并按合同及招标文件的有关规定做好施工区的环境保护工作，防止由于施工造成施工区附近地区的环境污染和破坏。⑩工程验收：按国家规定督促审查施工单位各阶段提交的竣工资料及全套竣工图纸和资料，签署建设监理意见；按有关要求组织工程各阶段验收、单位工程验收、调试及竣工验收，提交相应的工程建设监理报告。</w:t>
      </w:r>
    </w:p>
    <w:p w14:paraId="58434C0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9.9信息管理：做好现场监理记录、信息反馈与信息编码。按本合同附件要求编制监理周、月报，对工程资料及档案按期进行整编和管理，并在工程竣工验收或监理服务结束后移交委托人(一式六份，含电子版本二份)。</w:t>
      </w:r>
    </w:p>
    <w:p w14:paraId="00644F6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9.10监理机构应配合委托人参加国家有关部门对工程质量安全鉴定工作，并提供相关资料。执行委托人有关工程管理的制度，做好其他相关工作。</w:t>
      </w:r>
    </w:p>
    <w:p w14:paraId="7848F51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9.11工程验收及违约处理方面：a.签发中间交工证书；b.对己完成工程进行准确的计量；c.签发中期支付凭证； d.受理合同事宜，根据合同规定进行评估和处理：e.根据合同规定处理违约事件，协调争端，在仲裁过程中作证； f.对承包人的交工申请进行评估，对拟交工工程的检查和验收并组织初步验收；g.签发交工证书； h.督促、检查承包人按工程管理部门和业主的要求编制竣工文件；I.编制监理方面的竣工文件；j.监督承包人认真执行工程保修期的工作计划，检查和验收剩余工程，对已交工工程中出现的缺陷、病害调查其原因并确定相应的责任；k.签发工程缺陷责任终止证书；l.签发最终支付证书；m.配合业主的竣工验收和工程移交工作；</w:t>
      </w:r>
    </w:p>
    <w:p w14:paraId="6B2B3E2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36）监理人在保修期阶段应完成的工作有：协助组织和参与检查项目竣工验收的各项工作。对保修期间发现的工程质量问题，参与调查研究，弄清情况，鉴定工程质量问题的责任，并监督保修工作。在竣工结算阶段配合委托人工作，协助委托人、承包人双方完成竣工结算资料并根据工程进度款的审核资料向委托人提供工程结算参考工程造价。</w:t>
      </w:r>
    </w:p>
    <w:p w14:paraId="5A2C8CE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9.12双方确认合同上载明的地址、联系人、电话等均为双方进行联系的固定方式，合同履行、诉讼、执行以及其他法律程序所涉及之相关法律文件，委托人或司法机关可选择任意一种送达方式。任何一方均应积极履行通知和被通知义务，不得以拒绝签收、无人签收或变更地址未通知等理由否认送达效力。监理人联系方式有变化应在3日内书面通知对方，否则应当承担视为送达等一切法律后果。如委托人或司法机方以快递的方式向上述地址寄出的通知或文件，在寄出三日后，即使未妥投或拒收，仍应视为已送达。</w:t>
      </w:r>
    </w:p>
    <w:p w14:paraId="0A23F81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9.13第三方引发的法律纠纷在合同履行中及合同结束后，因监理人原因导致的第三方诉委托人案件或纠纷，委托人有权委托委托人员工、律师等人员参加诉讼、仲裁和各种协调工作；并有权暂不向监理人支付案件、仲裁或纠纷对应的款项。因监理人原因引发的任何诉讼、仲裁等，在诉讼、仲裁和协调过程中委托人产生的任何损失和费用，均由监理人承担，包括但不限于委托人承担的实际损失、差旅费、律师费、诉讼费、仲裁费、鉴定费等；并有权在委托人应向承包人支付的款项中直接扣除。</w:t>
      </w:r>
    </w:p>
    <w:p w14:paraId="3AB95FA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9.14合同所约定违约金，均是考虑了商誉、社会影响、时间成本、机会成本、处理违约事件所耗费资源（人力、财力）等综合抽象要素所造成的损失的。该等损失的抽象性虽难以精确量化，但各方诚信认可其在商业交易中确实存在，为避免届时难以精确衡量，故在此事先约定以违约金方式，尽量弥补损失，同时主合同所约定的违约金具有惩罚性违约金性质。在充分理解和认可上述原则的基础上，双方在违约情况发生后，双方在违约情况发生后，委托人向监理人违约方主张违约责任时，监理人不再以“违约金过分高于/低于损失”等为由作为抗辩要求调低或调高违约金，委托人亦无需举证具体损失。</w:t>
      </w:r>
    </w:p>
    <w:p w14:paraId="74B8081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9.15在投标截止基准日后，因国家的法律、法规或有关部门规章发生变化，导致监理人在合同履行中所需费用发生合同约定以外的增减时，除根据合同约定属于监理人应承担的风险外，双方应协商调整相应费用。在基准日后，因国家政策、法规变动原因导致增值税税率发送调整，税率调整后应支付给监理人的合同价款按如下原则调整：若监理人按照调整后税率开具增值税专用发票，在合同不含税价不变的原则下，委托人按照合同不含税价加监理人实际缴纳的增值税税额支付相应价款；若监理人按照原合同税率开具增值税专用发票，委托人仍按原合同价款进行支付。即税率调高，委托人承担监理人实际增加的增值税税费；税率调低，委托人扣减监理人实际减少的增值税税费。</w:t>
      </w:r>
    </w:p>
    <w:p w14:paraId="339C7D4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9.16委托人已采取合理的方式提示监理人注意免除或者减轻委托人责任等与监理人有重大利害关系的条款，特别是关于违约、违约救济措施以及救济途径的条款。按照监理人的要求，委托人已就本合同全部内容向监理人进行了逐条说明与解释（尤其是黑体部分），履行了提示注意义务和充分说明义务，监理人不得主张该条款不成为本合同的内容或该条款无效，监理人对前述全部内容均已知晓并予以认可。</w:t>
      </w:r>
    </w:p>
    <w:p w14:paraId="519AAF0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b/>
          <w:color w:val="auto"/>
          <w:sz w:val="27"/>
          <w:u w:val="single"/>
        </w:rPr>
      </w:pPr>
      <w:r>
        <w:rPr>
          <w:rFonts w:hint="eastAsia" w:ascii="宋体" w:hAnsi="宋体" w:eastAsia="宋体"/>
          <w:b/>
          <w:color w:val="auto"/>
          <w:sz w:val="27"/>
          <w:u w:val="single"/>
        </w:rPr>
        <w:t>9.17对地勘、设计、施工单位提出的工程变更的合规性、合理性未严格审查，经有关部门或会议未通过的变更事项拟增加工程造价在施工合同价5%以上不满20%的，不支付30%的监理费；超过施工合同价20%以上的，不支付监理费。监理单位虚假签证的，不支付该项目监理费，并由行业主管部门依据相关规定进行处理。</w:t>
      </w:r>
    </w:p>
    <w:p w14:paraId="41AE5AB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9.18鉴于项目建设周期长、不确定因素较多，监理人已充分考虑在项目实施过程中各风险因素，各子项建设规模、开工时间、建设地点均受到相关部门审批（备案）、国家政策调整等因素影响，监理人不因此向委托人主张任何潜在或预期的利益损失或要求增加监理费、超期服务费等</w:t>
      </w:r>
      <w:r>
        <w:rPr>
          <w:rFonts w:hint="eastAsia" w:ascii="宋体" w:hAnsi="宋体" w:eastAsia="宋体"/>
          <w:color w:val="auto"/>
          <w:sz w:val="27"/>
        </w:rPr>
        <w:t xml:space="preserve"> 。</w:t>
      </w:r>
    </w:p>
    <w:p w14:paraId="16C5917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0251E2AB">
      <w:pPr>
        <w:pStyle w:val="5"/>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olor w:val="auto"/>
          <w:sz w:val="27"/>
        </w:rPr>
      </w:pPr>
      <w:r>
        <w:rPr>
          <w:color w:val="auto"/>
        </w:rPr>
        <w:br w:type="page"/>
      </w:r>
      <w:r>
        <w:rPr>
          <w:rFonts w:hint="eastAsia" w:ascii="宋体" w:hAnsi="宋体" w:eastAsia="宋体"/>
          <w:b/>
          <w:color w:val="auto"/>
          <w:sz w:val="27"/>
        </w:rPr>
        <w:t>附录A  相关服务的范围和内容</w:t>
      </w:r>
    </w:p>
    <w:p w14:paraId="17ECD08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A-1 勘察阶段：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669AD20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A-2 设计阶段：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1D3B782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A-3 保修阶段：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7CCB9CD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color w:val="auto"/>
          <w:sz w:val="27"/>
        </w:rPr>
        <w:t xml:space="preserve"> A-4 其他（专业技术咨询、外部协调工作等）： </w:t>
      </w:r>
      <w:r>
        <w:rPr>
          <w:rFonts w:hint="eastAsia" w:ascii="宋体" w:hAnsi="宋体" w:eastAsia="宋体"/>
          <w:b/>
          <w:color w:val="auto"/>
          <w:sz w:val="27"/>
          <w:u w:val="single"/>
        </w:rPr>
        <w:t xml:space="preserve">   </w:t>
      </w:r>
      <w:r>
        <w:rPr>
          <w:rFonts w:hint="eastAsia" w:ascii="宋体" w:hAnsi="宋体"/>
          <w:b/>
          <w:color w:val="auto"/>
          <w:sz w:val="27"/>
          <w:u w:val="single"/>
          <w:lang w:val="en-US" w:eastAsia="zh-CN"/>
        </w:rPr>
        <w:t>/</w:t>
      </w:r>
      <w:r>
        <w:rPr>
          <w:rFonts w:hint="eastAsia" w:ascii="宋体" w:hAnsi="宋体" w:eastAsia="宋体"/>
          <w:b/>
          <w:color w:val="auto"/>
          <w:sz w:val="27"/>
          <w:u w:val="single"/>
        </w:rPr>
        <w:t xml:space="preserve">     </w:t>
      </w:r>
      <w:r>
        <w:rPr>
          <w:rFonts w:hint="eastAsia" w:ascii="宋体" w:hAnsi="宋体" w:eastAsia="宋体"/>
          <w:color w:val="auto"/>
          <w:sz w:val="27"/>
        </w:rPr>
        <w:t xml:space="preserve"> 。</w:t>
      </w:r>
    </w:p>
    <w:p w14:paraId="4B40130E">
      <w:pPr>
        <w:pageBreakBefore w:val="0"/>
        <w:widowControl w:val="0"/>
        <w:kinsoku/>
        <w:wordWrap/>
        <w:overflowPunct/>
        <w:topLinePunct w:val="0"/>
        <w:autoSpaceDE/>
        <w:autoSpaceDN/>
        <w:bidi w:val="0"/>
        <w:adjustRightInd/>
        <w:snapToGrid/>
        <w:spacing w:line="360" w:lineRule="auto"/>
        <w:ind w:firstLine="534" w:firstLineChars="198"/>
        <w:jc w:val="left"/>
        <w:textAlignment w:val="auto"/>
        <w:rPr>
          <w:rFonts w:hint="eastAsia" w:ascii="宋体" w:hAnsi="宋体" w:eastAsia="宋体"/>
          <w:color w:val="auto"/>
          <w:sz w:val="27"/>
        </w:rPr>
      </w:pPr>
    </w:p>
    <w:p w14:paraId="6BCC0B13">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33D2A5F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6B5CED2D">
      <w:pPr>
        <w:pStyle w:val="5"/>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宋体" w:hAnsi="宋体" w:eastAsia="宋体"/>
          <w:color w:val="auto"/>
          <w:sz w:val="27"/>
        </w:rPr>
      </w:pPr>
      <w:r>
        <w:rPr>
          <w:color w:val="auto"/>
        </w:rPr>
        <w:br w:type="page"/>
      </w:r>
      <w:r>
        <w:rPr>
          <w:rFonts w:hint="eastAsia" w:ascii="宋体" w:hAnsi="宋体" w:eastAsia="宋体"/>
          <w:b/>
          <w:color w:val="auto"/>
          <w:sz w:val="27"/>
        </w:rPr>
        <w:t>附录B  委托人派遣的人员和提供的房屋、资料、设备</w:t>
      </w:r>
    </w:p>
    <w:p w14:paraId="671AF8A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7B9A1F4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color w:val="auto"/>
        </w:rPr>
        <w:br w:type="page"/>
      </w:r>
      <w:r>
        <w:rPr>
          <w:rFonts w:hint="eastAsia" w:ascii="宋体" w:hAnsi="宋体" w:eastAsia="宋体"/>
          <w:b/>
          <w:color w:val="auto"/>
          <w:sz w:val="27"/>
        </w:rPr>
        <w:t>B-1  委托人派遣的人员</w:t>
      </w:r>
    </w:p>
    <w:tbl>
      <w:tblPr>
        <w:tblStyle w:val="32"/>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19"/>
        <w:gridCol w:w="1713"/>
        <w:gridCol w:w="2062"/>
        <w:gridCol w:w="1801"/>
      </w:tblGrid>
      <w:tr w14:paraId="7D729A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noWrap w:val="0"/>
            <w:vAlign w:val="center"/>
          </w:tcPr>
          <w:p w14:paraId="07D1EF4E">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名称</w:t>
            </w:r>
          </w:p>
        </w:tc>
        <w:tc>
          <w:tcPr>
            <w:tcW w:w="1713" w:type="dxa"/>
            <w:noWrap w:val="0"/>
            <w:vAlign w:val="center"/>
          </w:tcPr>
          <w:p w14:paraId="58FB0FD7">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数量</w:t>
            </w:r>
          </w:p>
        </w:tc>
        <w:tc>
          <w:tcPr>
            <w:tcW w:w="2062" w:type="dxa"/>
            <w:noWrap w:val="0"/>
            <w:vAlign w:val="center"/>
          </w:tcPr>
          <w:p w14:paraId="6D6ACC16">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工作要求</w:t>
            </w:r>
          </w:p>
        </w:tc>
        <w:tc>
          <w:tcPr>
            <w:tcW w:w="1800" w:type="dxa"/>
            <w:noWrap w:val="0"/>
            <w:vAlign w:val="center"/>
          </w:tcPr>
          <w:p w14:paraId="0954D9CC">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提供时间</w:t>
            </w:r>
          </w:p>
        </w:tc>
      </w:tr>
      <w:tr w14:paraId="261D8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noWrap w:val="0"/>
            <w:vAlign w:val="center"/>
          </w:tcPr>
          <w:p w14:paraId="6B33754A">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 xml:space="preserve">1. 工程技术人员 </w:t>
            </w:r>
          </w:p>
        </w:tc>
        <w:tc>
          <w:tcPr>
            <w:tcW w:w="1713" w:type="dxa"/>
            <w:noWrap w:val="0"/>
            <w:vAlign w:val="center"/>
          </w:tcPr>
          <w:p w14:paraId="5AE5EFB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6D60FCD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34CBCEE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119C2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noWrap w:val="0"/>
            <w:vAlign w:val="center"/>
          </w:tcPr>
          <w:p w14:paraId="51C6ADED">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2. 辅助工作人员</w:t>
            </w:r>
          </w:p>
        </w:tc>
        <w:tc>
          <w:tcPr>
            <w:tcW w:w="1713" w:type="dxa"/>
            <w:noWrap w:val="0"/>
            <w:vAlign w:val="center"/>
          </w:tcPr>
          <w:p w14:paraId="6B04B76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70369DD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475C805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23E0EB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noWrap w:val="0"/>
            <w:vAlign w:val="center"/>
          </w:tcPr>
          <w:p w14:paraId="6D9F7C2D">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3. 其他人员</w:t>
            </w:r>
          </w:p>
        </w:tc>
        <w:tc>
          <w:tcPr>
            <w:tcW w:w="1713" w:type="dxa"/>
            <w:noWrap w:val="0"/>
            <w:vAlign w:val="center"/>
          </w:tcPr>
          <w:p w14:paraId="5246A09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0936160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2BD62B4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1F9E7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18" w:type="dxa"/>
            <w:noWrap w:val="0"/>
            <w:vAlign w:val="center"/>
          </w:tcPr>
          <w:p w14:paraId="71B9001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713" w:type="dxa"/>
            <w:noWrap w:val="0"/>
            <w:vAlign w:val="center"/>
          </w:tcPr>
          <w:p w14:paraId="5FC2B01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54481B9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67C1EC5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bl>
    <w:p w14:paraId="4B2F7E3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24D8CC49">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color w:val="auto"/>
        </w:rPr>
        <w:br w:type="page"/>
      </w:r>
      <w:r>
        <w:rPr>
          <w:rFonts w:hint="eastAsia" w:ascii="宋体" w:hAnsi="宋体" w:eastAsia="宋体"/>
          <w:b/>
          <w:color w:val="auto"/>
          <w:sz w:val="27"/>
        </w:rPr>
        <w:t>B-2  委托人提供的房屋</w:t>
      </w:r>
    </w:p>
    <w:tbl>
      <w:tblPr>
        <w:tblStyle w:val="32"/>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69"/>
        <w:gridCol w:w="2062"/>
        <w:gridCol w:w="2062"/>
        <w:gridCol w:w="1802"/>
      </w:tblGrid>
      <w:tr w14:paraId="57B4B1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noWrap w:val="0"/>
            <w:vAlign w:val="center"/>
          </w:tcPr>
          <w:p w14:paraId="174D3434">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名称</w:t>
            </w:r>
          </w:p>
        </w:tc>
        <w:tc>
          <w:tcPr>
            <w:tcW w:w="2062" w:type="dxa"/>
            <w:noWrap w:val="0"/>
            <w:vAlign w:val="center"/>
          </w:tcPr>
          <w:p w14:paraId="036C999E">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数量</w:t>
            </w:r>
          </w:p>
        </w:tc>
        <w:tc>
          <w:tcPr>
            <w:tcW w:w="2062" w:type="dxa"/>
            <w:noWrap w:val="0"/>
            <w:vAlign w:val="center"/>
          </w:tcPr>
          <w:p w14:paraId="694F44CE">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面积</w:t>
            </w:r>
          </w:p>
        </w:tc>
        <w:tc>
          <w:tcPr>
            <w:tcW w:w="1800" w:type="dxa"/>
            <w:noWrap w:val="0"/>
            <w:vAlign w:val="center"/>
          </w:tcPr>
          <w:p w14:paraId="4C7D26F7">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提供时间</w:t>
            </w:r>
          </w:p>
        </w:tc>
      </w:tr>
      <w:tr w14:paraId="303BC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noWrap w:val="0"/>
            <w:vAlign w:val="center"/>
          </w:tcPr>
          <w:p w14:paraId="32EC94C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1. 办公用房</w:t>
            </w:r>
          </w:p>
        </w:tc>
        <w:tc>
          <w:tcPr>
            <w:tcW w:w="2062" w:type="dxa"/>
            <w:noWrap w:val="0"/>
            <w:vAlign w:val="center"/>
          </w:tcPr>
          <w:p w14:paraId="1A2BC56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4A8F077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13CE8B9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53D779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noWrap w:val="0"/>
            <w:vAlign w:val="center"/>
          </w:tcPr>
          <w:p w14:paraId="4D526A8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2. 生活用房</w:t>
            </w:r>
          </w:p>
        </w:tc>
        <w:tc>
          <w:tcPr>
            <w:tcW w:w="2062" w:type="dxa"/>
            <w:noWrap w:val="0"/>
            <w:vAlign w:val="center"/>
          </w:tcPr>
          <w:p w14:paraId="1788481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01FB07D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5C0855C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39591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noWrap w:val="0"/>
            <w:vAlign w:val="center"/>
          </w:tcPr>
          <w:p w14:paraId="4DF7E41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3. 试验用房</w:t>
            </w:r>
          </w:p>
        </w:tc>
        <w:tc>
          <w:tcPr>
            <w:tcW w:w="2062" w:type="dxa"/>
            <w:noWrap w:val="0"/>
            <w:vAlign w:val="center"/>
          </w:tcPr>
          <w:p w14:paraId="14F4486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2132E5D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690BAA7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35E5D5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noWrap w:val="0"/>
            <w:vAlign w:val="center"/>
          </w:tcPr>
          <w:p w14:paraId="1FBFAA13">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4. 样品用房</w:t>
            </w:r>
          </w:p>
        </w:tc>
        <w:tc>
          <w:tcPr>
            <w:tcW w:w="2062" w:type="dxa"/>
            <w:noWrap w:val="0"/>
            <w:vAlign w:val="center"/>
          </w:tcPr>
          <w:p w14:paraId="376F8E9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5BF25D5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09BC72D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5D77DA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noWrap w:val="0"/>
            <w:vAlign w:val="center"/>
          </w:tcPr>
          <w:p w14:paraId="752DF446">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36C88CF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0B622DB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793F9CC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4C6BA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9" w:type="dxa"/>
            <w:noWrap w:val="0"/>
            <w:vAlign w:val="center"/>
          </w:tcPr>
          <w:p w14:paraId="30A6B793">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用餐及其他生活条件</w:t>
            </w:r>
          </w:p>
        </w:tc>
        <w:tc>
          <w:tcPr>
            <w:tcW w:w="5925" w:type="dxa"/>
            <w:gridSpan w:val="3"/>
            <w:noWrap w:val="0"/>
            <w:vAlign w:val="center"/>
          </w:tcPr>
          <w:p w14:paraId="3E8CC45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bl>
    <w:p w14:paraId="5F12611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660DA3A7">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color w:val="auto"/>
        </w:rPr>
        <w:br w:type="page"/>
      </w:r>
      <w:r>
        <w:rPr>
          <w:rFonts w:hint="eastAsia" w:ascii="宋体" w:hAnsi="宋体" w:eastAsia="宋体"/>
          <w:b/>
          <w:color w:val="auto"/>
          <w:sz w:val="27"/>
        </w:rPr>
        <w:t>B-3  委托人提供的资料</w:t>
      </w:r>
    </w:p>
    <w:tbl>
      <w:tblPr>
        <w:tblStyle w:val="32"/>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28"/>
        <w:gridCol w:w="1451"/>
        <w:gridCol w:w="2090"/>
        <w:gridCol w:w="2026"/>
      </w:tblGrid>
      <w:tr w14:paraId="45C667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39B3F30D">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名称</w:t>
            </w:r>
          </w:p>
        </w:tc>
        <w:tc>
          <w:tcPr>
            <w:tcW w:w="1451" w:type="dxa"/>
            <w:noWrap w:val="0"/>
            <w:vAlign w:val="center"/>
          </w:tcPr>
          <w:p w14:paraId="15208B81">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份数</w:t>
            </w:r>
          </w:p>
        </w:tc>
        <w:tc>
          <w:tcPr>
            <w:tcW w:w="2089" w:type="dxa"/>
            <w:noWrap w:val="0"/>
            <w:vAlign w:val="center"/>
          </w:tcPr>
          <w:p w14:paraId="770124F0">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提供时间</w:t>
            </w:r>
          </w:p>
        </w:tc>
        <w:tc>
          <w:tcPr>
            <w:tcW w:w="2026" w:type="dxa"/>
            <w:noWrap w:val="0"/>
            <w:vAlign w:val="center"/>
          </w:tcPr>
          <w:p w14:paraId="701234A0">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备注</w:t>
            </w:r>
          </w:p>
        </w:tc>
      </w:tr>
      <w:tr w14:paraId="51DB29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6219F76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1. 工程立项文件</w:t>
            </w:r>
          </w:p>
        </w:tc>
        <w:tc>
          <w:tcPr>
            <w:tcW w:w="1451" w:type="dxa"/>
            <w:noWrap w:val="0"/>
            <w:vAlign w:val="center"/>
          </w:tcPr>
          <w:p w14:paraId="3310BE4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89" w:type="dxa"/>
            <w:noWrap w:val="0"/>
            <w:vAlign w:val="center"/>
          </w:tcPr>
          <w:p w14:paraId="667E1EF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26" w:type="dxa"/>
            <w:noWrap w:val="0"/>
            <w:vAlign w:val="center"/>
          </w:tcPr>
          <w:p w14:paraId="32958810">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07113C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3E737F15">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2. 工程勘察文件</w:t>
            </w:r>
          </w:p>
        </w:tc>
        <w:tc>
          <w:tcPr>
            <w:tcW w:w="1451" w:type="dxa"/>
            <w:noWrap w:val="0"/>
            <w:vAlign w:val="center"/>
          </w:tcPr>
          <w:p w14:paraId="5FE0A47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89" w:type="dxa"/>
            <w:noWrap w:val="0"/>
            <w:vAlign w:val="center"/>
          </w:tcPr>
          <w:p w14:paraId="779574C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26" w:type="dxa"/>
            <w:noWrap w:val="0"/>
            <w:vAlign w:val="center"/>
          </w:tcPr>
          <w:p w14:paraId="05923CAB">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13FC4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2D33A4DF">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3. 工程设计及施工图纸</w:t>
            </w:r>
          </w:p>
        </w:tc>
        <w:tc>
          <w:tcPr>
            <w:tcW w:w="1451" w:type="dxa"/>
            <w:noWrap w:val="0"/>
            <w:vAlign w:val="center"/>
          </w:tcPr>
          <w:p w14:paraId="03C9E3A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89" w:type="dxa"/>
            <w:noWrap w:val="0"/>
            <w:vAlign w:val="center"/>
          </w:tcPr>
          <w:p w14:paraId="6F4CEE4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26" w:type="dxa"/>
            <w:noWrap w:val="0"/>
            <w:vAlign w:val="center"/>
          </w:tcPr>
          <w:p w14:paraId="79F60A6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30AE4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38A06197">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4. 工程承包合同及其他相关合同</w:t>
            </w:r>
          </w:p>
        </w:tc>
        <w:tc>
          <w:tcPr>
            <w:tcW w:w="1451" w:type="dxa"/>
            <w:noWrap w:val="0"/>
            <w:vAlign w:val="center"/>
          </w:tcPr>
          <w:p w14:paraId="59D5DFF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89" w:type="dxa"/>
            <w:noWrap w:val="0"/>
            <w:vAlign w:val="center"/>
          </w:tcPr>
          <w:p w14:paraId="773DECD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26" w:type="dxa"/>
            <w:noWrap w:val="0"/>
            <w:vAlign w:val="center"/>
          </w:tcPr>
          <w:p w14:paraId="58BC42F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4A2C5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7B9270F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5. 施工许可文件</w:t>
            </w:r>
          </w:p>
        </w:tc>
        <w:tc>
          <w:tcPr>
            <w:tcW w:w="1451" w:type="dxa"/>
            <w:noWrap w:val="0"/>
            <w:vAlign w:val="center"/>
          </w:tcPr>
          <w:p w14:paraId="5C186AC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89" w:type="dxa"/>
            <w:noWrap w:val="0"/>
            <w:vAlign w:val="center"/>
          </w:tcPr>
          <w:p w14:paraId="727FC12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26" w:type="dxa"/>
            <w:noWrap w:val="0"/>
            <w:vAlign w:val="center"/>
          </w:tcPr>
          <w:p w14:paraId="0CFAB37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5C3D6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618E8478">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6. 其他文件</w:t>
            </w:r>
          </w:p>
        </w:tc>
        <w:tc>
          <w:tcPr>
            <w:tcW w:w="1451" w:type="dxa"/>
            <w:noWrap w:val="0"/>
            <w:vAlign w:val="center"/>
          </w:tcPr>
          <w:p w14:paraId="5E3E2768">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89" w:type="dxa"/>
            <w:noWrap w:val="0"/>
            <w:vAlign w:val="center"/>
          </w:tcPr>
          <w:p w14:paraId="43FDE8C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26" w:type="dxa"/>
            <w:noWrap w:val="0"/>
            <w:vAlign w:val="center"/>
          </w:tcPr>
          <w:p w14:paraId="4A1AFFE3">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7673B5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27" w:type="dxa"/>
            <w:noWrap w:val="0"/>
            <w:vAlign w:val="center"/>
          </w:tcPr>
          <w:p w14:paraId="5879037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451" w:type="dxa"/>
            <w:noWrap w:val="0"/>
            <w:vAlign w:val="center"/>
          </w:tcPr>
          <w:p w14:paraId="0EE8A92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89" w:type="dxa"/>
            <w:noWrap w:val="0"/>
            <w:vAlign w:val="center"/>
          </w:tcPr>
          <w:p w14:paraId="1C42708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26" w:type="dxa"/>
            <w:noWrap w:val="0"/>
            <w:vAlign w:val="center"/>
          </w:tcPr>
          <w:p w14:paraId="5A50283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bl>
    <w:p w14:paraId="34AFDA01">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p>
    <w:p w14:paraId="78AD88B6">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color w:val="auto"/>
        </w:rPr>
        <w:br w:type="page"/>
      </w:r>
      <w:r>
        <w:rPr>
          <w:rFonts w:hint="eastAsia" w:ascii="宋体" w:hAnsi="宋体" w:eastAsia="宋体"/>
          <w:b/>
          <w:color w:val="auto"/>
          <w:sz w:val="27"/>
        </w:rPr>
        <w:t>B-4 委托人提供的设备</w:t>
      </w:r>
    </w:p>
    <w:tbl>
      <w:tblPr>
        <w:tblStyle w:val="32"/>
        <w:tblW w:w="829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893"/>
        <w:gridCol w:w="1539"/>
        <w:gridCol w:w="2062"/>
        <w:gridCol w:w="1801"/>
      </w:tblGrid>
      <w:tr w14:paraId="3AC3F0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noWrap w:val="0"/>
            <w:vAlign w:val="center"/>
          </w:tcPr>
          <w:p w14:paraId="0772217D">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名称</w:t>
            </w:r>
          </w:p>
        </w:tc>
        <w:tc>
          <w:tcPr>
            <w:tcW w:w="1539" w:type="dxa"/>
            <w:noWrap w:val="0"/>
            <w:vAlign w:val="center"/>
          </w:tcPr>
          <w:p w14:paraId="1C7F9089">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数量</w:t>
            </w:r>
          </w:p>
        </w:tc>
        <w:tc>
          <w:tcPr>
            <w:tcW w:w="2062" w:type="dxa"/>
            <w:noWrap w:val="0"/>
            <w:vAlign w:val="center"/>
          </w:tcPr>
          <w:p w14:paraId="6B38716F">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型号与规格</w:t>
            </w:r>
          </w:p>
        </w:tc>
        <w:tc>
          <w:tcPr>
            <w:tcW w:w="1800" w:type="dxa"/>
            <w:noWrap w:val="0"/>
            <w:vAlign w:val="center"/>
          </w:tcPr>
          <w:p w14:paraId="5AD8EDE4">
            <w:pPr>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olor w:val="auto"/>
                <w:sz w:val="27"/>
              </w:rPr>
            </w:pPr>
            <w:r>
              <w:rPr>
                <w:rFonts w:hint="eastAsia" w:ascii="宋体" w:hAnsi="宋体" w:eastAsia="宋体"/>
                <w:color w:val="auto"/>
                <w:sz w:val="27"/>
              </w:rPr>
              <w:t>提供时间</w:t>
            </w:r>
          </w:p>
        </w:tc>
      </w:tr>
      <w:tr w14:paraId="1C57FB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noWrap w:val="0"/>
            <w:vAlign w:val="center"/>
          </w:tcPr>
          <w:p w14:paraId="4FDBFA0B">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1. 通讯设备</w:t>
            </w:r>
          </w:p>
        </w:tc>
        <w:tc>
          <w:tcPr>
            <w:tcW w:w="1539" w:type="dxa"/>
            <w:noWrap w:val="0"/>
            <w:vAlign w:val="center"/>
          </w:tcPr>
          <w:p w14:paraId="1B9D351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274F29C9">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592FBE44">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16DE16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noWrap w:val="0"/>
            <w:vAlign w:val="center"/>
          </w:tcPr>
          <w:p w14:paraId="23421024">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2. 办公设备</w:t>
            </w:r>
          </w:p>
        </w:tc>
        <w:tc>
          <w:tcPr>
            <w:tcW w:w="1539" w:type="dxa"/>
            <w:noWrap w:val="0"/>
            <w:vAlign w:val="center"/>
          </w:tcPr>
          <w:p w14:paraId="4F28E62A">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70A34C7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3A36512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3FC210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noWrap w:val="0"/>
            <w:vAlign w:val="center"/>
          </w:tcPr>
          <w:p w14:paraId="4D22817E">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3. 交通工具</w:t>
            </w:r>
          </w:p>
        </w:tc>
        <w:tc>
          <w:tcPr>
            <w:tcW w:w="1539" w:type="dxa"/>
            <w:noWrap w:val="0"/>
            <w:vAlign w:val="center"/>
          </w:tcPr>
          <w:p w14:paraId="3B74C06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2752C365">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64CE9E67">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70000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noWrap w:val="0"/>
            <w:vAlign w:val="center"/>
          </w:tcPr>
          <w:p w14:paraId="78CF30D0">
            <w:pPr>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olor w:val="auto"/>
                <w:sz w:val="27"/>
              </w:rPr>
            </w:pPr>
            <w:r>
              <w:rPr>
                <w:rFonts w:hint="eastAsia" w:ascii="宋体" w:hAnsi="宋体" w:eastAsia="宋体"/>
                <w:color w:val="auto"/>
                <w:sz w:val="27"/>
              </w:rPr>
              <w:t>4. 检测和试验设备</w:t>
            </w:r>
          </w:p>
        </w:tc>
        <w:tc>
          <w:tcPr>
            <w:tcW w:w="1539" w:type="dxa"/>
            <w:noWrap w:val="0"/>
            <w:vAlign w:val="center"/>
          </w:tcPr>
          <w:p w14:paraId="0E3A947F">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4D61AEB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63883281">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r w14:paraId="56802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892" w:type="dxa"/>
            <w:noWrap w:val="0"/>
            <w:vAlign w:val="center"/>
          </w:tcPr>
          <w:p w14:paraId="3D474772">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539" w:type="dxa"/>
            <w:noWrap w:val="0"/>
            <w:vAlign w:val="center"/>
          </w:tcPr>
          <w:p w14:paraId="0D3900DC">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2062" w:type="dxa"/>
            <w:noWrap w:val="0"/>
            <w:vAlign w:val="center"/>
          </w:tcPr>
          <w:p w14:paraId="4FAF52AD">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c>
          <w:tcPr>
            <w:tcW w:w="1800" w:type="dxa"/>
            <w:noWrap w:val="0"/>
            <w:vAlign w:val="center"/>
          </w:tcPr>
          <w:p w14:paraId="5D3FE56E">
            <w:pPr>
              <w:pageBreakBefore w:val="0"/>
              <w:widowControl w:val="0"/>
              <w:kinsoku/>
              <w:wordWrap/>
              <w:overflowPunct/>
              <w:topLinePunct w:val="0"/>
              <w:autoSpaceDE/>
              <w:autoSpaceDN/>
              <w:bidi w:val="0"/>
              <w:adjustRightInd/>
              <w:snapToGrid/>
              <w:spacing w:line="360" w:lineRule="auto"/>
              <w:ind w:firstLineChars="0"/>
              <w:jc w:val="left"/>
              <w:textAlignment w:val="auto"/>
              <w:rPr>
                <w:rFonts w:hint="eastAsia" w:ascii="宋体" w:hAnsi="宋体" w:eastAsia="宋体"/>
                <w:color w:val="auto"/>
                <w:sz w:val="27"/>
              </w:rPr>
            </w:pPr>
            <w:r>
              <w:rPr>
                <w:rFonts w:hint="eastAsia" w:ascii="宋体" w:hAnsi="宋体" w:eastAsia="宋体"/>
                <w:b/>
                <w:color w:val="auto"/>
                <w:sz w:val="27"/>
                <w:u w:val="single"/>
              </w:rPr>
              <w:t xml:space="preserve">        </w:t>
            </w:r>
          </w:p>
        </w:tc>
      </w:tr>
    </w:tbl>
    <w:p w14:paraId="111CFED1">
      <w:pPr>
        <w:pageBreakBefore w:val="0"/>
        <w:widowControl w:val="0"/>
        <w:kinsoku/>
        <w:wordWrap/>
        <w:overflowPunct/>
        <w:topLinePunct w:val="0"/>
        <w:autoSpaceDE/>
        <w:autoSpaceDN/>
        <w:bidi w:val="0"/>
        <w:adjustRightInd/>
        <w:snapToGrid/>
        <w:spacing w:line="360" w:lineRule="auto"/>
        <w:textAlignment w:val="auto"/>
        <w:rPr>
          <w:color w:val="auto"/>
        </w:rPr>
      </w:pPr>
    </w:p>
    <w:p w14:paraId="7E3FDB21">
      <w:pPr>
        <w:pStyle w:val="49"/>
        <w:rPr>
          <w:rFonts w:hint="eastAsia" w:ascii="宋体" w:hAnsi="宋体" w:eastAsia="宋体" w:cs="宋体"/>
        </w:rPr>
      </w:pPr>
    </w:p>
    <w:p w14:paraId="62B829C0">
      <w:pPr>
        <w:pStyle w:val="49"/>
        <w:rPr>
          <w:rFonts w:hint="eastAsia" w:ascii="宋体" w:hAnsi="宋体" w:eastAsia="宋体" w:cs="宋体"/>
        </w:rPr>
      </w:pPr>
    </w:p>
    <w:p w14:paraId="5DF69A97">
      <w:pPr>
        <w:pStyle w:val="49"/>
        <w:rPr>
          <w:rFonts w:hint="eastAsia" w:ascii="宋体" w:hAnsi="宋体" w:eastAsia="宋体" w:cs="宋体"/>
        </w:rPr>
      </w:pPr>
    </w:p>
    <w:p w14:paraId="19E21266">
      <w:pPr>
        <w:pStyle w:val="49"/>
        <w:rPr>
          <w:rFonts w:hint="eastAsia" w:ascii="宋体" w:hAnsi="宋体" w:eastAsia="宋体" w:cs="宋体"/>
        </w:rPr>
      </w:pPr>
    </w:p>
    <w:p w14:paraId="792B40E7">
      <w:pPr>
        <w:pStyle w:val="49"/>
        <w:rPr>
          <w:rFonts w:hint="eastAsia" w:ascii="宋体" w:hAnsi="宋体" w:eastAsia="宋体" w:cs="宋体"/>
        </w:rPr>
      </w:pPr>
    </w:p>
    <w:p w14:paraId="08EE91FB">
      <w:pPr>
        <w:pStyle w:val="49"/>
        <w:rPr>
          <w:rFonts w:hint="eastAsia" w:ascii="宋体" w:hAnsi="宋体" w:eastAsia="宋体" w:cs="宋体"/>
        </w:rPr>
      </w:pPr>
    </w:p>
    <w:p w14:paraId="5AFAED7F">
      <w:pPr>
        <w:pStyle w:val="49"/>
        <w:rPr>
          <w:rFonts w:hint="eastAsia" w:ascii="宋体" w:hAnsi="宋体" w:eastAsia="宋体" w:cs="宋体"/>
        </w:rPr>
      </w:pPr>
    </w:p>
    <w:p w14:paraId="28B263CA">
      <w:pPr>
        <w:pStyle w:val="49"/>
        <w:rPr>
          <w:rFonts w:hint="eastAsia" w:ascii="宋体" w:hAnsi="宋体" w:eastAsia="宋体" w:cs="宋体"/>
        </w:rPr>
      </w:pPr>
    </w:p>
    <w:p w14:paraId="325D31B0">
      <w:pPr>
        <w:pStyle w:val="49"/>
        <w:rPr>
          <w:rFonts w:hint="eastAsia" w:ascii="宋体" w:hAnsi="宋体" w:eastAsia="宋体" w:cs="宋体"/>
        </w:rPr>
      </w:pPr>
    </w:p>
    <w:p w14:paraId="41A55BE7">
      <w:pPr>
        <w:pStyle w:val="49"/>
        <w:rPr>
          <w:rFonts w:hint="eastAsia" w:ascii="宋体" w:hAnsi="宋体" w:eastAsia="宋体" w:cs="宋体"/>
        </w:rPr>
      </w:pPr>
    </w:p>
    <w:p w14:paraId="0413963F">
      <w:pPr>
        <w:pStyle w:val="49"/>
        <w:rPr>
          <w:rFonts w:hint="eastAsia" w:ascii="宋体" w:hAnsi="宋体" w:eastAsia="宋体" w:cs="宋体"/>
        </w:rPr>
      </w:pPr>
    </w:p>
    <w:sectPr>
      <w:headerReference r:id="rId3" w:type="default"/>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仿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15EEB">
    <w:pPr>
      <w:pStyle w:val="19"/>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DD3A2F">
                          <w:pPr>
                            <w:pStyle w:val="19"/>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67 -</w:t>
                          </w:r>
                          <w:r>
                            <w:rPr>
                              <w:rFonts w:ascii="宋体" w:hAnsi="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14:paraId="18DD3A2F">
                    <w:pPr>
                      <w:pStyle w:val="19"/>
                      <w:jc w:val="cente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67 -</w:t>
                    </w:r>
                    <w:r>
                      <w:rPr>
                        <w:rFonts w:ascii="宋体" w:hAnsi="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C8D9D">
    <w:pPr>
      <w:pStyle w:val="20"/>
      <w:pBdr>
        <w:bottom w:val="none" w:color="auto" w:sz="0" w:space="1"/>
      </w:pBdr>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C6327C"/>
    <w:multiLevelType w:val="multilevel"/>
    <w:tmpl w:val="E1C6327C"/>
    <w:lvl w:ilvl="0" w:tentative="0">
      <w:start w:val="1"/>
      <w:numFmt w:val="chineseCounting"/>
      <w:suff w:val="nothing"/>
      <w:lvlText w:val="%1、"/>
      <w:lvlJc w:val="left"/>
      <w:pPr>
        <w:tabs>
          <w:tab w:val="left" w:pos="0"/>
        </w:tabs>
        <w:ind w:left="0" w:firstLine="0"/>
      </w:pPr>
      <w:rPr>
        <w:rFonts w:hint="eastAsia" w:ascii="宋体" w:hAnsi="宋体" w:eastAsia="宋体" w:cs="宋体"/>
      </w:rPr>
    </w:lvl>
    <w:lvl w:ilvl="1" w:tentative="0">
      <w:start w:val="1"/>
      <w:numFmt w:val="chineseCounting"/>
      <w:suff w:val="nothing"/>
      <w:lvlText w:val="(%2)"/>
      <w:lvlJc w:val="left"/>
      <w:pPr>
        <w:ind w:left="0" w:firstLine="0"/>
      </w:pPr>
      <w:rPr>
        <w:rFonts w:hint="eastAsia" w:ascii="宋体" w:hAnsi="宋体" w:eastAsia="宋体" w:cs="宋体"/>
      </w:rPr>
    </w:lvl>
    <w:lvl w:ilvl="2" w:tentative="0">
      <w:start w:val="1"/>
      <w:numFmt w:val="decimal"/>
      <w:pStyle w:val="64"/>
      <w:suff w:val="nothing"/>
      <w:lvlText w:val="%3."/>
      <w:lvlJc w:val="left"/>
      <w:pPr>
        <w:ind w:left="0" w:firstLine="0"/>
      </w:pPr>
      <w:rPr>
        <w:rFonts w:hint="eastAsia" w:ascii="宋体" w:hAnsi="宋体" w:eastAsia="宋体" w:cs="宋体"/>
      </w:rPr>
    </w:lvl>
    <w:lvl w:ilvl="3" w:tentative="0">
      <w:start w:val="1"/>
      <w:numFmt w:val="decimal"/>
      <w:suff w:val="nothing"/>
      <w:lvlText w:val="%3.%4"/>
      <w:lvlJc w:val="left"/>
      <w:pPr>
        <w:ind w:left="0" w:firstLine="0"/>
      </w:pPr>
      <w:rPr>
        <w:rFonts w:hint="eastAsia" w:ascii="宋体" w:hAnsi="宋体" w:eastAsia="宋体" w:cs="宋体"/>
      </w:rPr>
    </w:lvl>
    <w:lvl w:ilvl="4" w:tentative="0">
      <w:start w:val="1"/>
      <w:numFmt w:val="decimal"/>
      <w:suff w:val="nothing"/>
      <w:lvlText w:val="(%5)"/>
      <w:lvlJc w:val="left"/>
      <w:pPr>
        <w:ind w:left="0" w:firstLine="0"/>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4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mMGYzNzM4YTA3MGQxZTUxNmQzNTdjNWI3NWI5OWMifQ=="/>
  </w:docVars>
  <w:rsids>
    <w:rsidRoot w:val="007C12CC"/>
    <w:rsid w:val="00001660"/>
    <w:rsid w:val="00004B89"/>
    <w:rsid w:val="00010A55"/>
    <w:rsid w:val="00013385"/>
    <w:rsid w:val="00013A8C"/>
    <w:rsid w:val="0001438F"/>
    <w:rsid w:val="00014483"/>
    <w:rsid w:val="00015AD4"/>
    <w:rsid w:val="000176E8"/>
    <w:rsid w:val="00021F2A"/>
    <w:rsid w:val="00022084"/>
    <w:rsid w:val="000222FA"/>
    <w:rsid w:val="0002293A"/>
    <w:rsid w:val="00023E17"/>
    <w:rsid w:val="000246A1"/>
    <w:rsid w:val="00024A16"/>
    <w:rsid w:val="00026E80"/>
    <w:rsid w:val="00030C81"/>
    <w:rsid w:val="00030DE6"/>
    <w:rsid w:val="00031286"/>
    <w:rsid w:val="00031558"/>
    <w:rsid w:val="00032335"/>
    <w:rsid w:val="00032783"/>
    <w:rsid w:val="00034706"/>
    <w:rsid w:val="00035948"/>
    <w:rsid w:val="00040402"/>
    <w:rsid w:val="000408C4"/>
    <w:rsid w:val="00041FE4"/>
    <w:rsid w:val="000451F8"/>
    <w:rsid w:val="000462B4"/>
    <w:rsid w:val="00046697"/>
    <w:rsid w:val="0004677D"/>
    <w:rsid w:val="00047873"/>
    <w:rsid w:val="00050590"/>
    <w:rsid w:val="00051366"/>
    <w:rsid w:val="000523DF"/>
    <w:rsid w:val="000526C6"/>
    <w:rsid w:val="00052B12"/>
    <w:rsid w:val="00053337"/>
    <w:rsid w:val="00054BA4"/>
    <w:rsid w:val="00055034"/>
    <w:rsid w:val="00055C21"/>
    <w:rsid w:val="00056105"/>
    <w:rsid w:val="000567A9"/>
    <w:rsid w:val="00056979"/>
    <w:rsid w:val="00057397"/>
    <w:rsid w:val="00061464"/>
    <w:rsid w:val="0006243C"/>
    <w:rsid w:val="0006264C"/>
    <w:rsid w:val="000657E0"/>
    <w:rsid w:val="00065CFE"/>
    <w:rsid w:val="0006634F"/>
    <w:rsid w:val="0006738D"/>
    <w:rsid w:val="000727F2"/>
    <w:rsid w:val="000731F0"/>
    <w:rsid w:val="000739F4"/>
    <w:rsid w:val="00073B7E"/>
    <w:rsid w:val="00074138"/>
    <w:rsid w:val="000743DD"/>
    <w:rsid w:val="0007488D"/>
    <w:rsid w:val="00074A27"/>
    <w:rsid w:val="0007588A"/>
    <w:rsid w:val="00081A37"/>
    <w:rsid w:val="00082B75"/>
    <w:rsid w:val="000834B0"/>
    <w:rsid w:val="000839BF"/>
    <w:rsid w:val="00084183"/>
    <w:rsid w:val="0008602F"/>
    <w:rsid w:val="000867B4"/>
    <w:rsid w:val="00086A4E"/>
    <w:rsid w:val="000878B4"/>
    <w:rsid w:val="00090600"/>
    <w:rsid w:val="00090A00"/>
    <w:rsid w:val="00092B4C"/>
    <w:rsid w:val="000932AA"/>
    <w:rsid w:val="00093ABA"/>
    <w:rsid w:val="000958DC"/>
    <w:rsid w:val="00095D86"/>
    <w:rsid w:val="000962DA"/>
    <w:rsid w:val="000A1518"/>
    <w:rsid w:val="000A1D01"/>
    <w:rsid w:val="000A2A84"/>
    <w:rsid w:val="000A2B76"/>
    <w:rsid w:val="000A32C6"/>
    <w:rsid w:val="000A3D02"/>
    <w:rsid w:val="000A3D83"/>
    <w:rsid w:val="000A4196"/>
    <w:rsid w:val="000A42C7"/>
    <w:rsid w:val="000A4B2E"/>
    <w:rsid w:val="000A4EA5"/>
    <w:rsid w:val="000A5B58"/>
    <w:rsid w:val="000A7857"/>
    <w:rsid w:val="000B07DD"/>
    <w:rsid w:val="000B0E0C"/>
    <w:rsid w:val="000B0F4B"/>
    <w:rsid w:val="000B19EB"/>
    <w:rsid w:val="000B1C2C"/>
    <w:rsid w:val="000B58C4"/>
    <w:rsid w:val="000B6ABC"/>
    <w:rsid w:val="000B7FD8"/>
    <w:rsid w:val="000C00DD"/>
    <w:rsid w:val="000C0146"/>
    <w:rsid w:val="000C22DB"/>
    <w:rsid w:val="000C2EFC"/>
    <w:rsid w:val="000C3B13"/>
    <w:rsid w:val="000C405E"/>
    <w:rsid w:val="000C4129"/>
    <w:rsid w:val="000C46FA"/>
    <w:rsid w:val="000C4762"/>
    <w:rsid w:val="000C562F"/>
    <w:rsid w:val="000C5D2D"/>
    <w:rsid w:val="000C5FC0"/>
    <w:rsid w:val="000D03B4"/>
    <w:rsid w:val="000D0F0A"/>
    <w:rsid w:val="000D1724"/>
    <w:rsid w:val="000D319D"/>
    <w:rsid w:val="000D3B40"/>
    <w:rsid w:val="000D4073"/>
    <w:rsid w:val="000D4EFB"/>
    <w:rsid w:val="000D705A"/>
    <w:rsid w:val="000D710C"/>
    <w:rsid w:val="000E0A69"/>
    <w:rsid w:val="000E583C"/>
    <w:rsid w:val="000E6476"/>
    <w:rsid w:val="000E6CD7"/>
    <w:rsid w:val="000F422B"/>
    <w:rsid w:val="000F45A9"/>
    <w:rsid w:val="000F6854"/>
    <w:rsid w:val="00100B7D"/>
    <w:rsid w:val="00100C85"/>
    <w:rsid w:val="00100FCD"/>
    <w:rsid w:val="0010167E"/>
    <w:rsid w:val="00101CB5"/>
    <w:rsid w:val="001033D2"/>
    <w:rsid w:val="00105014"/>
    <w:rsid w:val="0010666F"/>
    <w:rsid w:val="001114EB"/>
    <w:rsid w:val="001116C7"/>
    <w:rsid w:val="00111F41"/>
    <w:rsid w:val="00114DE5"/>
    <w:rsid w:val="00114EBA"/>
    <w:rsid w:val="001150A5"/>
    <w:rsid w:val="001178DD"/>
    <w:rsid w:val="00117ADF"/>
    <w:rsid w:val="001212C2"/>
    <w:rsid w:val="0012276E"/>
    <w:rsid w:val="00122B24"/>
    <w:rsid w:val="001239E7"/>
    <w:rsid w:val="00123E53"/>
    <w:rsid w:val="00123FC0"/>
    <w:rsid w:val="00126265"/>
    <w:rsid w:val="00126D87"/>
    <w:rsid w:val="00131E1B"/>
    <w:rsid w:val="00131F14"/>
    <w:rsid w:val="001329EB"/>
    <w:rsid w:val="00133F90"/>
    <w:rsid w:val="001345C8"/>
    <w:rsid w:val="0013590F"/>
    <w:rsid w:val="00136485"/>
    <w:rsid w:val="00136D53"/>
    <w:rsid w:val="00141495"/>
    <w:rsid w:val="00141A3F"/>
    <w:rsid w:val="00141A54"/>
    <w:rsid w:val="00142470"/>
    <w:rsid w:val="0014425B"/>
    <w:rsid w:val="001451F2"/>
    <w:rsid w:val="001464DD"/>
    <w:rsid w:val="001500D3"/>
    <w:rsid w:val="00150709"/>
    <w:rsid w:val="00150BFF"/>
    <w:rsid w:val="00151441"/>
    <w:rsid w:val="00152074"/>
    <w:rsid w:val="00153D4C"/>
    <w:rsid w:val="0015550E"/>
    <w:rsid w:val="00155F86"/>
    <w:rsid w:val="00156466"/>
    <w:rsid w:val="00156D44"/>
    <w:rsid w:val="001575FD"/>
    <w:rsid w:val="00160440"/>
    <w:rsid w:val="00161AEF"/>
    <w:rsid w:val="00162078"/>
    <w:rsid w:val="0016341A"/>
    <w:rsid w:val="001648CD"/>
    <w:rsid w:val="001652F8"/>
    <w:rsid w:val="00165833"/>
    <w:rsid w:val="0016762F"/>
    <w:rsid w:val="00167ED2"/>
    <w:rsid w:val="00170C8C"/>
    <w:rsid w:val="001746B3"/>
    <w:rsid w:val="00175AEB"/>
    <w:rsid w:val="001763A5"/>
    <w:rsid w:val="001836F5"/>
    <w:rsid w:val="0018382C"/>
    <w:rsid w:val="0018390E"/>
    <w:rsid w:val="00183F9B"/>
    <w:rsid w:val="00185A39"/>
    <w:rsid w:val="00185F2C"/>
    <w:rsid w:val="00186A43"/>
    <w:rsid w:val="00186AEA"/>
    <w:rsid w:val="001876EA"/>
    <w:rsid w:val="00187C36"/>
    <w:rsid w:val="00187D88"/>
    <w:rsid w:val="0019037D"/>
    <w:rsid w:val="00191285"/>
    <w:rsid w:val="00193802"/>
    <w:rsid w:val="00193E56"/>
    <w:rsid w:val="001961BF"/>
    <w:rsid w:val="00196A94"/>
    <w:rsid w:val="00196B7A"/>
    <w:rsid w:val="001974BF"/>
    <w:rsid w:val="0019756E"/>
    <w:rsid w:val="001A0BE4"/>
    <w:rsid w:val="001A4D34"/>
    <w:rsid w:val="001A67F1"/>
    <w:rsid w:val="001A6D5E"/>
    <w:rsid w:val="001A761A"/>
    <w:rsid w:val="001B053F"/>
    <w:rsid w:val="001B1F0F"/>
    <w:rsid w:val="001B22E9"/>
    <w:rsid w:val="001B2FBD"/>
    <w:rsid w:val="001B334A"/>
    <w:rsid w:val="001B3E32"/>
    <w:rsid w:val="001B3E78"/>
    <w:rsid w:val="001B4B2D"/>
    <w:rsid w:val="001C2713"/>
    <w:rsid w:val="001C2CAE"/>
    <w:rsid w:val="001C4A5B"/>
    <w:rsid w:val="001C5AF6"/>
    <w:rsid w:val="001D0F62"/>
    <w:rsid w:val="001D2331"/>
    <w:rsid w:val="001D3913"/>
    <w:rsid w:val="001E0521"/>
    <w:rsid w:val="001E0CB9"/>
    <w:rsid w:val="001E148C"/>
    <w:rsid w:val="001E3B05"/>
    <w:rsid w:val="001E5BB0"/>
    <w:rsid w:val="001E6EBF"/>
    <w:rsid w:val="001E6EC9"/>
    <w:rsid w:val="001E6EF9"/>
    <w:rsid w:val="001F035E"/>
    <w:rsid w:val="001F1E7D"/>
    <w:rsid w:val="001F2E29"/>
    <w:rsid w:val="001F492D"/>
    <w:rsid w:val="001F64F5"/>
    <w:rsid w:val="001F79FC"/>
    <w:rsid w:val="001F7DBD"/>
    <w:rsid w:val="0020027D"/>
    <w:rsid w:val="0020131C"/>
    <w:rsid w:val="00203068"/>
    <w:rsid w:val="00205336"/>
    <w:rsid w:val="00206D18"/>
    <w:rsid w:val="0021013C"/>
    <w:rsid w:val="002120D0"/>
    <w:rsid w:val="002125E6"/>
    <w:rsid w:val="0021469C"/>
    <w:rsid w:val="00215638"/>
    <w:rsid w:val="0021668E"/>
    <w:rsid w:val="00220283"/>
    <w:rsid w:val="00223227"/>
    <w:rsid w:val="00224333"/>
    <w:rsid w:val="00224CDC"/>
    <w:rsid w:val="002270B2"/>
    <w:rsid w:val="00230304"/>
    <w:rsid w:val="00230D10"/>
    <w:rsid w:val="002313B2"/>
    <w:rsid w:val="00231C4E"/>
    <w:rsid w:val="002320BC"/>
    <w:rsid w:val="002332EA"/>
    <w:rsid w:val="002342C9"/>
    <w:rsid w:val="00235D26"/>
    <w:rsid w:val="00240CB7"/>
    <w:rsid w:val="00241AF6"/>
    <w:rsid w:val="00242277"/>
    <w:rsid w:val="00244015"/>
    <w:rsid w:val="0024529B"/>
    <w:rsid w:val="00245E6C"/>
    <w:rsid w:val="002470DA"/>
    <w:rsid w:val="0025006F"/>
    <w:rsid w:val="00250692"/>
    <w:rsid w:val="002509D0"/>
    <w:rsid w:val="002510B3"/>
    <w:rsid w:val="00252DDB"/>
    <w:rsid w:val="0025359C"/>
    <w:rsid w:val="002554B2"/>
    <w:rsid w:val="00255D4B"/>
    <w:rsid w:val="00262A61"/>
    <w:rsid w:val="00263B9A"/>
    <w:rsid w:val="00265F18"/>
    <w:rsid w:val="002665C5"/>
    <w:rsid w:val="002703E3"/>
    <w:rsid w:val="00272326"/>
    <w:rsid w:val="0027252A"/>
    <w:rsid w:val="00277B58"/>
    <w:rsid w:val="00280D8F"/>
    <w:rsid w:val="00281347"/>
    <w:rsid w:val="002857AA"/>
    <w:rsid w:val="0029048E"/>
    <w:rsid w:val="00290AEB"/>
    <w:rsid w:val="00291539"/>
    <w:rsid w:val="00292632"/>
    <w:rsid w:val="00294EBC"/>
    <w:rsid w:val="0029626C"/>
    <w:rsid w:val="00297B8B"/>
    <w:rsid w:val="00297D0C"/>
    <w:rsid w:val="002A0B7A"/>
    <w:rsid w:val="002A0C3D"/>
    <w:rsid w:val="002A0C82"/>
    <w:rsid w:val="002A1E56"/>
    <w:rsid w:val="002A4317"/>
    <w:rsid w:val="002A56DD"/>
    <w:rsid w:val="002A7D03"/>
    <w:rsid w:val="002B067F"/>
    <w:rsid w:val="002B06DF"/>
    <w:rsid w:val="002B3263"/>
    <w:rsid w:val="002B3FE9"/>
    <w:rsid w:val="002B4920"/>
    <w:rsid w:val="002B5EB0"/>
    <w:rsid w:val="002B6D25"/>
    <w:rsid w:val="002B7D1D"/>
    <w:rsid w:val="002C0169"/>
    <w:rsid w:val="002C0185"/>
    <w:rsid w:val="002C0964"/>
    <w:rsid w:val="002C2154"/>
    <w:rsid w:val="002C3905"/>
    <w:rsid w:val="002C3A6D"/>
    <w:rsid w:val="002C4B41"/>
    <w:rsid w:val="002C67ED"/>
    <w:rsid w:val="002C7DDE"/>
    <w:rsid w:val="002D2A3C"/>
    <w:rsid w:val="002D2EE5"/>
    <w:rsid w:val="002D44CE"/>
    <w:rsid w:val="002D5D7E"/>
    <w:rsid w:val="002D6435"/>
    <w:rsid w:val="002D73AE"/>
    <w:rsid w:val="002D769A"/>
    <w:rsid w:val="002E1456"/>
    <w:rsid w:val="002E2016"/>
    <w:rsid w:val="002E372F"/>
    <w:rsid w:val="002E38A1"/>
    <w:rsid w:val="002E3EE5"/>
    <w:rsid w:val="002E4CC9"/>
    <w:rsid w:val="002E53EC"/>
    <w:rsid w:val="002E7B45"/>
    <w:rsid w:val="002F0D48"/>
    <w:rsid w:val="002F3919"/>
    <w:rsid w:val="002F5A38"/>
    <w:rsid w:val="002F797B"/>
    <w:rsid w:val="00300012"/>
    <w:rsid w:val="00302602"/>
    <w:rsid w:val="0030262F"/>
    <w:rsid w:val="003034DB"/>
    <w:rsid w:val="00303C8B"/>
    <w:rsid w:val="00306772"/>
    <w:rsid w:val="00306A59"/>
    <w:rsid w:val="00306EED"/>
    <w:rsid w:val="00306F89"/>
    <w:rsid w:val="00311669"/>
    <w:rsid w:val="0031253B"/>
    <w:rsid w:val="00314009"/>
    <w:rsid w:val="00315A72"/>
    <w:rsid w:val="0031795E"/>
    <w:rsid w:val="00321BCE"/>
    <w:rsid w:val="003230A0"/>
    <w:rsid w:val="00323546"/>
    <w:rsid w:val="0032451F"/>
    <w:rsid w:val="003245A1"/>
    <w:rsid w:val="00327B03"/>
    <w:rsid w:val="00331FC6"/>
    <w:rsid w:val="0033261E"/>
    <w:rsid w:val="003331D2"/>
    <w:rsid w:val="003334D5"/>
    <w:rsid w:val="00334A11"/>
    <w:rsid w:val="00335BD1"/>
    <w:rsid w:val="003419CA"/>
    <w:rsid w:val="00342078"/>
    <w:rsid w:val="00343E79"/>
    <w:rsid w:val="00346A47"/>
    <w:rsid w:val="0035067D"/>
    <w:rsid w:val="00351E9C"/>
    <w:rsid w:val="00352BE5"/>
    <w:rsid w:val="003534C0"/>
    <w:rsid w:val="00354318"/>
    <w:rsid w:val="00354A64"/>
    <w:rsid w:val="00354A79"/>
    <w:rsid w:val="00355FC0"/>
    <w:rsid w:val="00356142"/>
    <w:rsid w:val="00356AD1"/>
    <w:rsid w:val="00361262"/>
    <w:rsid w:val="00361622"/>
    <w:rsid w:val="00361C9E"/>
    <w:rsid w:val="00364406"/>
    <w:rsid w:val="00364647"/>
    <w:rsid w:val="00365CED"/>
    <w:rsid w:val="0037029D"/>
    <w:rsid w:val="00370C8A"/>
    <w:rsid w:val="003726F8"/>
    <w:rsid w:val="0037288F"/>
    <w:rsid w:val="00372E53"/>
    <w:rsid w:val="00373951"/>
    <w:rsid w:val="0037405F"/>
    <w:rsid w:val="00375A5E"/>
    <w:rsid w:val="00375F76"/>
    <w:rsid w:val="0037714C"/>
    <w:rsid w:val="00381E2B"/>
    <w:rsid w:val="00382A01"/>
    <w:rsid w:val="00383BFA"/>
    <w:rsid w:val="00384FE6"/>
    <w:rsid w:val="003851CE"/>
    <w:rsid w:val="00385E98"/>
    <w:rsid w:val="00386475"/>
    <w:rsid w:val="00386948"/>
    <w:rsid w:val="00391031"/>
    <w:rsid w:val="003924E0"/>
    <w:rsid w:val="00394101"/>
    <w:rsid w:val="00395323"/>
    <w:rsid w:val="00395403"/>
    <w:rsid w:val="00395A66"/>
    <w:rsid w:val="0039654A"/>
    <w:rsid w:val="0039658A"/>
    <w:rsid w:val="00396685"/>
    <w:rsid w:val="00396BD7"/>
    <w:rsid w:val="003A44B1"/>
    <w:rsid w:val="003B035C"/>
    <w:rsid w:val="003B07A2"/>
    <w:rsid w:val="003B0FE8"/>
    <w:rsid w:val="003B1AB5"/>
    <w:rsid w:val="003B1E98"/>
    <w:rsid w:val="003B22D9"/>
    <w:rsid w:val="003B3290"/>
    <w:rsid w:val="003B3755"/>
    <w:rsid w:val="003B4511"/>
    <w:rsid w:val="003B4C27"/>
    <w:rsid w:val="003B6F87"/>
    <w:rsid w:val="003C0054"/>
    <w:rsid w:val="003C0851"/>
    <w:rsid w:val="003C14AB"/>
    <w:rsid w:val="003C1C62"/>
    <w:rsid w:val="003C1E7C"/>
    <w:rsid w:val="003C5114"/>
    <w:rsid w:val="003C668B"/>
    <w:rsid w:val="003D1437"/>
    <w:rsid w:val="003D23BF"/>
    <w:rsid w:val="003D3B7C"/>
    <w:rsid w:val="003D629B"/>
    <w:rsid w:val="003D6FFA"/>
    <w:rsid w:val="003D72B6"/>
    <w:rsid w:val="003E06B9"/>
    <w:rsid w:val="003E35F5"/>
    <w:rsid w:val="003E44CB"/>
    <w:rsid w:val="003E5C6E"/>
    <w:rsid w:val="003E6755"/>
    <w:rsid w:val="003F2938"/>
    <w:rsid w:val="003F4247"/>
    <w:rsid w:val="003F4F88"/>
    <w:rsid w:val="003F7462"/>
    <w:rsid w:val="00400273"/>
    <w:rsid w:val="00400415"/>
    <w:rsid w:val="00400F8F"/>
    <w:rsid w:val="00401075"/>
    <w:rsid w:val="00403397"/>
    <w:rsid w:val="00404202"/>
    <w:rsid w:val="00405597"/>
    <w:rsid w:val="004056A0"/>
    <w:rsid w:val="00406C2F"/>
    <w:rsid w:val="004071DA"/>
    <w:rsid w:val="0041210C"/>
    <w:rsid w:val="00420862"/>
    <w:rsid w:val="00420880"/>
    <w:rsid w:val="00421009"/>
    <w:rsid w:val="004233F9"/>
    <w:rsid w:val="0042372A"/>
    <w:rsid w:val="004259A8"/>
    <w:rsid w:val="00425ACB"/>
    <w:rsid w:val="00425E38"/>
    <w:rsid w:val="00427793"/>
    <w:rsid w:val="004277FA"/>
    <w:rsid w:val="00430020"/>
    <w:rsid w:val="00430DE2"/>
    <w:rsid w:val="0043241B"/>
    <w:rsid w:val="0043301F"/>
    <w:rsid w:val="00433462"/>
    <w:rsid w:val="004347BF"/>
    <w:rsid w:val="00434EDB"/>
    <w:rsid w:val="00436108"/>
    <w:rsid w:val="004368E1"/>
    <w:rsid w:val="00436A1E"/>
    <w:rsid w:val="00437349"/>
    <w:rsid w:val="00437F68"/>
    <w:rsid w:val="00440010"/>
    <w:rsid w:val="00441691"/>
    <w:rsid w:val="00442203"/>
    <w:rsid w:val="004440D6"/>
    <w:rsid w:val="0044451B"/>
    <w:rsid w:val="00446C23"/>
    <w:rsid w:val="00447598"/>
    <w:rsid w:val="00447F5D"/>
    <w:rsid w:val="00450333"/>
    <w:rsid w:val="004507D2"/>
    <w:rsid w:val="00451934"/>
    <w:rsid w:val="004522CD"/>
    <w:rsid w:val="00453DA2"/>
    <w:rsid w:val="00454103"/>
    <w:rsid w:val="004541EE"/>
    <w:rsid w:val="004569C9"/>
    <w:rsid w:val="00457964"/>
    <w:rsid w:val="004643AF"/>
    <w:rsid w:val="00464C62"/>
    <w:rsid w:val="00465A54"/>
    <w:rsid w:val="004677D8"/>
    <w:rsid w:val="00471F07"/>
    <w:rsid w:val="00472497"/>
    <w:rsid w:val="00472927"/>
    <w:rsid w:val="00474121"/>
    <w:rsid w:val="004746B7"/>
    <w:rsid w:val="00474A2F"/>
    <w:rsid w:val="004753B1"/>
    <w:rsid w:val="00476556"/>
    <w:rsid w:val="00480F16"/>
    <w:rsid w:val="004810BE"/>
    <w:rsid w:val="004837E8"/>
    <w:rsid w:val="00484A3D"/>
    <w:rsid w:val="0048581D"/>
    <w:rsid w:val="004859C3"/>
    <w:rsid w:val="004859EF"/>
    <w:rsid w:val="00485EDF"/>
    <w:rsid w:val="00490A1F"/>
    <w:rsid w:val="004924E2"/>
    <w:rsid w:val="0049282E"/>
    <w:rsid w:val="0049425B"/>
    <w:rsid w:val="00494369"/>
    <w:rsid w:val="004943EA"/>
    <w:rsid w:val="00494E0D"/>
    <w:rsid w:val="004967DA"/>
    <w:rsid w:val="004A0510"/>
    <w:rsid w:val="004A11B8"/>
    <w:rsid w:val="004A2B4F"/>
    <w:rsid w:val="004A6596"/>
    <w:rsid w:val="004A7182"/>
    <w:rsid w:val="004A7ED0"/>
    <w:rsid w:val="004B1CB6"/>
    <w:rsid w:val="004B2E17"/>
    <w:rsid w:val="004B31F5"/>
    <w:rsid w:val="004B42C6"/>
    <w:rsid w:val="004B46E7"/>
    <w:rsid w:val="004B4E67"/>
    <w:rsid w:val="004B56B6"/>
    <w:rsid w:val="004B58B4"/>
    <w:rsid w:val="004B7913"/>
    <w:rsid w:val="004B7CD4"/>
    <w:rsid w:val="004C1A76"/>
    <w:rsid w:val="004C2D18"/>
    <w:rsid w:val="004C3CC5"/>
    <w:rsid w:val="004D102C"/>
    <w:rsid w:val="004D17B5"/>
    <w:rsid w:val="004D1CAF"/>
    <w:rsid w:val="004D1D4C"/>
    <w:rsid w:val="004D2D2B"/>
    <w:rsid w:val="004D2F1E"/>
    <w:rsid w:val="004D438D"/>
    <w:rsid w:val="004D6AA0"/>
    <w:rsid w:val="004D6EA3"/>
    <w:rsid w:val="004D7C5A"/>
    <w:rsid w:val="004E095F"/>
    <w:rsid w:val="004E0DC1"/>
    <w:rsid w:val="004E2BA2"/>
    <w:rsid w:val="004E3AD2"/>
    <w:rsid w:val="004E4ECE"/>
    <w:rsid w:val="004E5AA9"/>
    <w:rsid w:val="004E77BC"/>
    <w:rsid w:val="004E7C5E"/>
    <w:rsid w:val="004F053A"/>
    <w:rsid w:val="004F2BA1"/>
    <w:rsid w:val="004F4A10"/>
    <w:rsid w:val="004F6640"/>
    <w:rsid w:val="004F6D0A"/>
    <w:rsid w:val="00500450"/>
    <w:rsid w:val="005023EE"/>
    <w:rsid w:val="00503CA8"/>
    <w:rsid w:val="0051137A"/>
    <w:rsid w:val="00511759"/>
    <w:rsid w:val="00511F85"/>
    <w:rsid w:val="00512F35"/>
    <w:rsid w:val="00515F84"/>
    <w:rsid w:val="00516884"/>
    <w:rsid w:val="00516E92"/>
    <w:rsid w:val="0051796C"/>
    <w:rsid w:val="0052067D"/>
    <w:rsid w:val="0052149F"/>
    <w:rsid w:val="005234C2"/>
    <w:rsid w:val="00523933"/>
    <w:rsid w:val="00524715"/>
    <w:rsid w:val="005275DB"/>
    <w:rsid w:val="00534655"/>
    <w:rsid w:val="0053654A"/>
    <w:rsid w:val="005379D8"/>
    <w:rsid w:val="00537DFF"/>
    <w:rsid w:val="005437F7"/>
    <w:rsid w:val="0054403C"/>
    <w:rsid w:val="00544138"/>
    <w:rsid w:val="0054439D"/>
    <w:rsid w:val="005455D7"/>
    <w:rsid w:val="0054613F"/>
    <w:rsid w:val="00546F02"/>
    <w:rsid w:val="0054726C"/>
    <w:rsid w:val="00547477"/>
    <w:rsid w:val="00550637"/>
    <w:rsid w:val="00550C15"/>
    <w:rsid w:val="00551E54"/>
    <w:rsid w:val="00552A5B"/>
    <w:rsid w:val="00553A9F"/>
    <w:rsid w:val="00555666"/>
    <w:rsid w:val="005557AE"/>
    <w:rsid w:val="005563F8"/>
    <w:rsid w:val="0055769A"/>
    <w:rsid w:val="005603D7"/>
    <w:rsid w:val="00560776"/>
    <w:rsid w:val="005648BE"/>
    <w:rsid w:val="005651F2"/>
    <w:rsid w:val="00566BF2"/>
    <w:rsid w:val="00566C37"/>
    <w:rsid w:val="00567FBF"/>
    <w:rsid w:val="0057020D"/>
    <w:rsid w:val="005710B2"/>
    <w:rsid w:val="005715A3"/>
    <w:rsid w:val="005758DC"/>
    <w:rsid w:val="00575EC8"/>
    <w:rsid w:val="005770E1"/>
    <w:rsid w:val="00577D3B"/>
    <w:rsid w:val="00583ED8"/>
    <w:rsid w:val="00585C10"/>
    <w:rsid w:val="00585D18"/>
    <w:rsid w:val="00586DE8"/>
    <w:rsid w:val="005873E6"/>
    <w:rsid w:val="005876D8"/>
    <w:rsid w:val="00590091"/>
    <w:rsid w:val="00591013"/>
    <w:rsid w:val="005913FB"/>
    <w:rsid w:val="0059168E"/>
    <w:rsid w:val="00591E80"/>
    <w:rsid w:val="00594C5B"/>
    <w:rsid w:val="0059553F"/>
    <w:rsid w:val="00595B7E"/>
    <w:rsid w:val="005A2DC2"/>
    <w:rsid w:val="005A6B6C"/>
    <w:rsid w:val="005A79EC"/>
    <w:rsid w:val="005B031E"/>
    <w:rsid w:val="005B0EA2"/>
    <w:rsid w:val="005B2590"/>
    <w:rsid w:val="005B2A2E"/>
    <w:rsid w:val="005B3818"/>
    <w:rsid w:val="005B4B72"/>
    <w:rsid w:val="005B52B1"/>
    <w:rsid w:val="005B5AEB"/>
    <w:rsid w:val="005C08FA"/>
    <w:rsid w:val="005C10F2"/>
    <w:rsid w:val="005C1360"/>
    <w:rsid w:val="005C3E17"/>
    <w:rsid w:val="005C4D2E"/>
    <w:rsid w:val="005D1258"/>
    <w:rsid w:val="005D3DE5"/>
    <w:rsid w:val="005D691C"/>
    <w:rsid w:val="005D72BC"/>
    <w:rsid w:val="005D7BAC"/>
    <w:rsid w:val="005E0927"/>
    <w:rsid w:val="005E0EB8"/>
    <w:rsid w:val="005E1042"/>
    <w:rsid w:val="005E290B"/>
    <w:rsid w:val="005E3999"/>
    <w:rsid w:val="005E61DB"/>
    <w:rsid w:val="005F038E"/>
    <w:rsid w:val="005F08CD"/>
    <w:rsid w:val="005F28F4"/>
    <w:rsid w:val="005F32FF"/>
    <w:rsid w:val="005F39AC"/>
    <w:rsid w:val="005F5B60"/>
    <w:rsid w:val="005F6B77"/>
    <w:rsid w:val="006003EE"/>
    <w:rsid w:val="00601FCD"/>
    <w:rsid w:val="00605136"/>
    <w:rsid w:val="0060560B"/>
    <w:rsid w:val="00606299"/>
    <w:rsid w:val="006063A3"/>
    <w:rsid w:val="00606464"/>
    <w:rsid w:val="00606E5C"/>
    <w:rsid w:val="0060753A"/>
    <w:rsid w:val="00610DCC"/>
    <w:rsid w:val="006120A9"/>
    <w:rsid w:val="00612C9E"/>
    <w:rsid w:val="00614B06"/>
    <w:rsid w:val="00614DE1"/>
    <w:rsid w:val="00615CBA"/>
    <w:rsid w:val="006169D0"/>
    <w:rsid w:val="00616C8F"/>
    <w:rsid w:val="00616DA0"/>
    <w:rsid w:val="00616EAA"/>
    <w:rsid w:val="0062060B"/>
    <w:rsid w:val="00621870"/>
    <w:rsid w:val="00626234"/>
    <w:rsid w:val="00627813"/>
    <w:rsid w:val="00630CE7"/>
    <w:rsid w:val="006320A2"/>
    <w:rsid w:val="00632E94"/>
    <w:rsid w:val="00633038"/>
    <w:rsid w:val="00633ECA"/>
    <w:rsid w:val="00633FA7"/>
    <w:rsid w:val="006345DE"/>
    <w:rsid w:val="00635F76"/>
    <w:rsid w:val="00640178"/>
    <w:rsid w:val="006414D0"/>
    <w:rsid w:val="00643045"/>
    <w:rsid w:val="00643B96"/>
    <w:rsid w:val="0064574D"/>
    <w:rsid w:val="00645C46"/>
    <w:rsid w:val="00645C78"/>
    <w:rsid w:val="00646470"/>
    <w:rsid w:val="00646570"/>
    <w:rsid w:val="00650EC4"/>
    <w:rsid w:val="00652426"/>
    <w:rsid w:val="0065519A"/>
    <w:rsid w:val="0065793E"/>
    <w:rsid w:val="006622F0"/>
    <w:rsid w:val="00662776"/>
    <w:rsid w:val="00663588"/>
    <w:rsid w:val="00665609"/>
    <w:rsid w:val="006663AF"/>
    <w:rsid w:val="006666FB"/>
    <w:rsid w:val="00666D76"/>
    <w:rsid w:val="0066748C"/>
    <w:rsid w:val="0066780A"/>
    <w:rsid w:val="00667F67"/>
    <w:rsid w:val="006708E4"/>
    <w:rsid w:val="00670BD0"/>
    <w:rsid w:val="006733AC"/>
    <w:rsid w:val="006738C0"/>
    <w:rsid w:val="006747D0"/>
    <w:rsid w:val="00676BDE"/>
    <w:rsid w:val="00677EB4"/>
    <w:rsid w:val="00680E92"/>
    <w:rsid w:val="00680F34"/>
    <w:rsid w:val="006815B2"/>
    <w:rsid w:val="00682060"/>
    <w:rsid w:val="006820AD"/>
    <w:rsid w:val="006825D3"/>
    <w:rsid w:val="006826F0"/>
    <w:rsid w:val="00682A5F"/>
    <w:rsid w:val="00682AC8"/>
    <w:rsid w:val="00682BF1"/>
    <w:rsid w:val="00683B04"/>
    <w:rsid w:val="006846A9"/>
    <w:rsid w:val="0068510B"/>
    <w:rsid w:val="0068758E"/>
    <w:rsid w:val="00687E71"/>
    <w:rsid w:val="00690343"/>
    <w:rsid w:val="00691C24"/>
    <w:rsid w:val="00692463"/>
    <w:rsid w:val="00693EA5"/>
    <w:rsid w:val="006959B9"/>
    <w:rsid w:val="00695A3E"/>
    <w:rsid w:val="006A0565"/>
    <w:rsid w:val="006A0C8E"/>
    <w:rsid w:val="006A357E"/>
    <w:rsid w:val="006A45A1"/>
    <w:rsid w:val="006A4E33"/>
    <w:rsid w:val="006A5390"/>
    <w:rsid w:val="006A6791"/>
    <w:rsid w:val="006A7FB3"/>
    <w:rsid w:val="006A7FB6"/>
    <w:rsid w:val="006B3179"/>
    <w:rsid w:val="006B3693"/>
    <w:rsid w:val="006B43B6"/>
    <w:rsid w:val="006B6634"/>
    <w:rsid w:val="006B728F"/>
    <w:rsid w:val="006B7390"/>
    <w:rsid w:val="006B73C5"/>
    <w:rsid w:val="006B791C"/>
    <w:rsid w:val="006C2713"/>
    <w:rsid w:val="006C28C6"/>
    <w:rsid w:val="006C29AE"/>
    <w:rsid w:val="006C34E1"/>
    <w:rsid w:val="006C35AB"/>
    <w:rsid w:val="006C434D"/>
    <w:rsid w:val="006C4542"/>
    <w:rsid w:val="006C5CD3"/>
    <w:rsid w:val="006C5DBB"/>
    <w:rsid w:val="006D13BF"/>
    <w:rsid w:val="006D1852"/>
    <w:rsid w:val="006D2D0E"/>
    <w:rsid w:val="006D35CE"/>
    <w:rsid w:val="006D4885"/>
    <w:rsid w:val="006D4E10"/>
    <w:rsid w:val="006D539E"/>
    <w:rsid w:val="006D634E"/>
    <w:rsid w:val="006D73C5"/>
    <w:rsid w:val="006D7AEE"/>
    <w:rsid w:val="006E0A86"/>
    <w:rsid w:val="006E0F4A"/>
    <w:rsid w:val="006E1B6F"/>
    <w:rsid w:val="006E280B"/>
    <w:rsid w:val="006E3610"/>
    <w:rsid w:val="006E3819"/>
    <w:rsid w:val="006E3977"/>
    <w:rsid w:val="006E3EA3"/>
    <w:rsid w:val="006E553A"/>
    <w:rsid w:val="006E57C3"/>
    <w:rsid w:val="006E5B7C"/>
    <w:rsid w:val="006E6C7E"/>
    <w:rsid w:val="006E7778"/>
    <w:rsid w:val="006F19FC"/>
    <w:rsid w:val="006F66CA"/>
    <w:rsid w:val="006F6F4D"/>
    <w:rsid w:val="006F72D9"/>
    <w:rsid w:val="006F74F3"/>
    <w:rsid w:val="00701D8C"/>
    <w:rsid w:val="007038FC"/>
    <w:rsid w:val="00703E8A"/>
    <w:rsid w:val="00704022"/>
    <w:rsid w:val="00706597"/>
    <w:rsid w:val="007068BA"/>
    <w:rsid w:val="00707B59"/>
    <w:rsid w:val="00710A76"/>
    <w:rsid w:val="007115FF"/>
    <w:rsid w:val="0071161C"/>
    <w:rsid w:val="007156EA"/>
    <w:rsid w:val="00716115"/>
    <w:rsid w:val="00716B69"/>
    <w:rsid w:val="00717C5F"/>
    <w:rsid w:val="00721582"/>
    <w:rsid w:val="00721914"/>
    <w:rsid w:val="007236E6"/>
    <w:rsid w:val="0072427E"/>
    <w:rsid w:val="00724552"/>
    <w:rsid w:val="0073057D"/>
    <w:rsid w:val="00730609"/>
    <w:rsid w:val="00731DA2"/>
    <w:rsid w:val="0073276D"/>
    <w:rsid w:val="00732B50"/>
    <w:rsid w:val="0073352D"/>
    <w:rsid w:val="00734122"/>
    <w:rsid w:val="007352A4"/>
    <w:rsid w:val="00736FE3"/>
    <w:rsid w:val="00736FE9"/>
    <w:rsid w:val="00737F15"/>
    <w:rsid w:val="0074082A"/>
    <w:rsid w:val="00741E69"/>
    <w:rsid w:val="007423F5"/>
    <w:rsid w:val="00742877"/>
    <w:rsid w:val="0074393D"/>
    <w:rsid w:val="00743991"/>
    <w:rsid w:val="00746AD4"/>
    <w:rsid w:val="00750B7E"/>
    <w:rsid w:val="007515C4"/>
    <w:rsid w:val="007522B7"/>
    <w:rsid w:val="0075277D"/>
    <w:rsid w:val="007540CC"/>
    <w:rsid w:val="00755A08"/>
    <w:rsid w:val="00756231"/>
    <w:rsid w:val="00756FF3"/>
    <w:rsid w:val="00757287"/>
    <w:rsid w:val="00757D3C"/>
    <w:rsid w:val="007604E9"/>
    <w:rsid w:val="00761F36"/>
    <w:rsid w:val="00762466"/>
    <w:rsid w:val="00763F24"/>
    <w:rsid w:val="00764146"/>
    <w:rsid w:val="007646F7"/>
    <w:rsid w:val="00764BF3"/>
    <w:rsid w:val="007650F7"/>
    <w:rsid w:val="0076635D"/>
    <w:rsid w:val="007663CC"/>
    <w:rsid w:val="00766C89"/>
    <w:rsid w:val="00766D98"/>
    <w:rsid w:val="007673B6"/>
    <w:rsid w:val="00770627"/>
    <w:rsid w:val="007707AA"/>
    <w:rsid w:val="00773E62"/>
    <w:rsid w:val="00774962"/>
    <w:rsid w:val="00774999"/>
    <w:rsid w:val="00775F64"/>
    <w:rsid w:val="00776970"/>
    <w:rsid w:val="00777FC5"/>
    <w:rsid w:val="0078096B"/>
    <w:rsid w:val="00780DCA"/>
    <w:rsid w:val="007814DE"/>
    <w:rsid w:val="00781660"/>
    <w:rsid w:val="007818C9"/>
    <w:rsid w:val="00782920"/>
    <w:rsid w:val="00783C74"/>
    <w:rsid w:val="00784BD9"/>
    <w:rsid w:val="007865E1"/>
    <w:rsid w:val="007866F2"/>
    <w:rsid w:val="007876C2"/>
    <w:rsid w:val="00790706"/>
    <w:rsid w:val="00797D6F"/>
    <w:rsid w:val="007A009E"/>
    <w:rsid w:val="007A01F7"/>
    <w:rsid w:val="007A0F8C"/>
    <w:rsid w:val="007A13C0"/>
    <w:rsid w:val="007A4490"/>
    <w:rsid w:val="007A4EE5"/>
    <w:rsid w:val="007A4F56"/>
    <w:rsid w:val="007A7069"/>
    <w:rsid w:val="007A70D1"/>
    <w:rsid w:val="007A7526"/>
    <w:rsid w:val="007A7C36"/>
    <w:rsid w:val="007B100D"/>
    <w:rsid w:val="007B1854"/>
    <w:rsid w:val="007B2164"/>
    <w:rsid w:val="007B283B"/>
    <w:rsid w:val="007B2F12"/>
    <w:rsid w:val="007B5655"/>
    <w:rsid w:val="007B5FA8"/>
    <w:rsid w:val="007B6900"/>
    <w:rsid w:val="007B7884"/>
    <w:rsid w:val="007C0294"/>
    <w:rsid w:val="007C12CC"/>
    <w:rsid w:val="007C1EF9"/>
    <w:rsid w:val="007C3B0F"/>
    <w:rsid w:val="007C563E"/>
    <w:rsid w:val="007C6221"/>
    <w:rsid w:val="007D147E"/>
    <w:rsid w:val="007D18A9"/>
    <w:rsid w:val="007D2B50"/>
    <w:rsid w:val="007D39E5"/>
    <w:rsid w:val="007D425A"/>
    <w:rsid w:val="007D54E9"/>
    <w:rsid w:val="007D5A19"/>
    <w:rsid w:val="007E193D"/>
    <w:rsid w:val="007E31A6"/>
    <w:rsid w:val="007E37B8"/>
    <w:rsid w:val="007E4854"/>
    <w:rsid w:val="007E4932"/>
    <w:rsid w:val="007E4F90"/>
    <w:rsid w:val="007E579B"/>
    <w:rsid w:val="007F00ED"/>
    <w:rsid w:val="007F2474"/>
    <w:rsid w:val="007F5FAD"/>
    <w:rsid w:val="007F620C"/>
    <w:rsid w:val="008004E8"/>
    <w:rsid w:val="00801001"/>
    <w:rsid w:val="00801B05"/>
    <w:rsid w:val="008025D3"/>
    <w:rsid w:val="00807A32"/>
    <w:rsid w:val="00807BB1"/>
    <w:rsid w:val="008102C8"/>
    <w:rsid w:val="008103A7"/>
    <w:rsid w:val="00810C97"/>
    <w:rsid w:val="0081260B"/>
    <w:rsid w:val="008127C3"/>
    <w:rsid w:val="008134EF"/>
    <w:rsid w:val="008139F7"/>
    <w:rsid w:val="00813B77"/>
    <w:rsid w:val="008159D7"/>
    <w:rsid w:val="00816AC0"/>
    <w:rsid w:val="0081715B"/>
    <w:rsid w:val="00817C5D"/>
    <w:rsid w:val="00817D26"/>
    <w:rsid w:val="00817F70"/>
    <w:rsid w:val="00821A14"/>
    <w:rsid w:val="00821FBB"/>
    <w:rsid w:val="008265AD"/>
    <w:rsid w:val="008266FA"/>
    <w:rsid w:val="00830484"/>
    <w:rsid w:val="00830A98"/>
    <w:rsid w:val="00831330"/>
    <w:rsid w:val="00831765"/>
    <w:rsid w:val="00831AF4"/>
    <w:rsid w:val="00835E74"/>
    <w:rsid w:val="00836E9F"/>
    <w:rsid w:val="008373DB"/>
    <w:rsid w:val="00840B26"/>
    <w:rsid w:val="00840D1C"/>
    <w:rsid w:val="00841CA6"/>
    <w:rsid w:val="008423E2"/>
    <w:rsid w:val="00843A50"/>
    <w:rsid w:val="00843C8D"/>
    <w:rsid w:val="00844361"/>
    <w:rsid w:val="00845524"/>
    <w:rsid w:val="00847236"/>
    <w:rsid w:val="00847D8B"/>
    <w:rsid w:val="008510BC"/>
    <w:rsid w:val="00851335"/>
    <w:rsid w:val="00851D92"/>
    <w:rsid w:val="0085235B"/>
    <w:rsid w:val="00852BC0"/>
    <w:rsid w:val="00852E08"/>
    <w:rsid w:val="00855B24"/>
    <w:rsid w:val="00857EA5"/>
    <w:rsid w:val="00863B9D"/>
    <w:rsid w:val="00865464"/>
    <w:rsid w:val="0087069A"/>
    <w:rsid w:val="008708ED"/>
    <w:rsid w:val="0087135D"/>
    <w:rsid w:val="00874451"/>
    <w:rsid w:val="00875714"/>
    <w:rsid w:val="00877038"/>
    <w:rsid w:val="00882E0C"/>
    <w:rsid w:val="008834FA"/>
    <w:rsid w:val="00885488"/>
    <w:rsid w:val="00887A37"/>
    <w:rsid w:val="008944AF"/>
    <w:rsid w:val="0089587E"/>
    <w:rsid w:val="0089676C"/>
    <w:rsid w:val="008970D5"/>
    <w:rsid w:val="00897B8F"/>
    <w:rsid w:val="008A0B92"/>
    <w:rsid w:val="008A1079"/>
    <w:rsid w:val="008A1875"/>
    <w:rsid w:val="008A1A9C"/>
    <w:rsid w:val="008A3B23"/>
    <w:rsid w:val="008A3E63"/>
    <w:rsid w:val="008A4078"/>
    <w:rsid w:val="008A51A9"/>
    <w:rsid w:val="008A721A"/>
    <w:rsid w:val="008B0085"/>
    <w:rsid w:val="008B2B51"/>
    <w:rsid w:val="008B3283"/>
    <w:rsid w:val="008B346E"/>
    <w:rsid w:val="008B4E2A"/>
    <w:rsid w:val="008B5136"/>
    <w:rsid w:val="008B68FD"/>
    <w:rsid w:val="008C2E09"/>
    <w:rsid w:val="008C32D0"/>
    <w:rsid w:val="008C3677"/>
    <w:rsid w:val="008C3970"/>
    <w:rsid w:val="008C3B4E"/>
    <w:rsid w:val="008C48F8"/>
    <w:rsid w:val="008D3C61"/>
    <w:rsid w:val="008D4DE9"/>
    <w:rsid w:val="008D6485"/>
    <w:rsid w:val="008D706D"/>
    <w:rsid w:val="008E0B22"/>
    <w:rsid w:val="008E1ADA"/>
    <w:rsid w:val="008E1C35"/>
    <w:rsid w:val="008E20FB"/>
    <w:rsid w:val="008E2427"/>
    <w:rsid w:val="008E46ED"/>
    <w:rsid w:val="008E5112"/>
    <w:rsid w:val="008E512D"/>
    <w:rsid w:val="008E5891"/>
    <w:rsid w:val="008E5F09"/>
    <w:rsid w:val="008F1A08"/>
    <w:rsid w:val="008F1DDA"/>
    <w:rsid w:val="008F2108"/>
    <w:rsid w:val="008F39B8"/>
    <w:rsid w:val="008F6405"/>
    <w:rsid w:val="008F6B8B"/>
    <w:rsid w:val="00901748"/>
    <w:rsid w:val="009018E5"/>
    <w:rsid w:val="009019CF"/>
    <w:rsid w:val="00901C1E"/>
    <w:rsid w:val="00902CF4"/>
    <w:rsid w:val="0090478A"/>
    <w:rsid w:val="009056D3"/>
    <w:rsid w:val="00905841"/>
    <w:rsid w:val="00906051"/>
    <w:rsid w:val="00907D77"/>
    <w:rsid w:val="00910F99"/>
    <w:rsid w:val="00914BDD"/>
    <w:rsid w:val="00916557"/>
    <w:rsid w:val="0091761E"/>
    <w:rsid w:val="009204A0"/>
    <w:rsid w:val="00920FF1"/>
    <w:rsid w:val="00921695"/>
    <w:rsid w:val="009221E3"/>
    <w:rsid w:val="0092358B"/>
    <w:rsid w:val="009235E0"/>
    <w:rsid w:val="00924A8B"/>
    <w:rsid w:val="00924B5E"/>
    <w:rsid w:val="0092521F"/>
    <w:rsid w:val="0092555F"/>
    <w:rsid w:val="00926E97"/>
    <w:rsid w:val="0092700A"/>
    <w:rsid w:val="00927144"/>
    <w:rsid w:val="0093058F"/>
    <w:rsid w:val="009306D2"/>
    <w:rsid w:val="00931F6A"/>
    <w:rsid w:val="00932A46"/>
    <w:rsid w:val="00933D99"/>
    <w:rsid w:val="009346ED"/>
    <w:rsid w:val="00935053"/>
    <w:rsid w:val="0093520D"/>
    <w:rsid w:val="0093790A"/>
    <w:rsid w:val="00941714"/>
    <w:rsid w:val="009417EE"/>
    <w:rsid w:val="00945A9B"/>
    <w:rsid w:val="00951129"/>
    <w:rsid w:val="00951C0F"/>
    <w:rsid w:val="00953489"/>
    <w:rsid w:val="00954A78"/>
    <w:rsid w:val="009618EC"/>
    <w:rsid w:val="00961BBD"/>
    <w:rsid w:val="0096295D"/>
    <w:rsid w:val="00964479"/>
    <w:rsid w:val="00964AA1"/>
    <w:rsid w:val="00966E0E"/>
    <w:rsid w:val="0097195D"/>
    <w:rsid w:val="009721A4"/>
    <w:rsid w:val="009727F4"/>
    <w:rsid w:val="00972975"/>
    <w:rsid w:val="00973FEF"/>
    <w:rsid w:val="009752EE"/>
    <w:rsid w:val="00977F1D"/>
    <w:rsid w:val="00980F49"/>
    <w:rsid w:val="0098255F"/>
    <w:rsid w:val="0098261E"/>
    <w:rsid w:val="00982994"/>
    <w:rsid w:val="009834E4"/>
    <w:rsid w:val="0098432A"/>
    <w:rsid w:val="009844F8"/>
    <w:rsid w:val="0098675D"/>
    <w:rsid w:val="00987223"/>
    <w:rsid w:val="00987F3D"/>
    <w:rsid w:val="00990E2B"/>
    <w:rsid w:val="00994270"/>
    <w:rsid w:val="0099514C"/>
    <w:rsid w:val="00996CE3"/>
    <w:rsid w:val="00996F0B"/>
    <w:rsid w:val="009A07C7"/>
    <w:rsid w:val="009A0958"/>
    <w:rsid w:val="009A1FE1"/>
    <w:rsid w:val="009A4BD5"/>
    <w:rsid w:val="009A4DCC"/>
    <w:rsid w:val="009A4F79"/>
    <w:rsid w:val="009A5259"/>
    <w:rsid w:val="009A54CF"/>
    <w:rsid w:val="009A636B"/>
    <w:rsid w:val="009A6CC8"/>
    <w:rsid w:val="009A7416"/>
    <w:rsid w:val="009A7668"/>
    <w:rsid w:val="009B002F"/>
    <w:rsid w:val="009B520F"/>
    <w:rsid w:val="009B6998"/>
    <w:rsid w:val="009C07C7"/>
    <w:rsid w:val="009C17E0"/>
    <w:rsid w:val="009C21A8"/>
    <w:rsid w:val="009C2E8A"/>
    <w:rsid w:val="009C58FC"/>
    <w:rsid w:val="009C6B3F"/>
    <w:rsid w:val="009D004A"/>
    <w:rsid w:val="009D0197"/>
    <w:rsid w:val="009D19AE"/>
    <w:rsid w:val="009D1FA3"/>
    <w:rsid w:val="009D2805"/>
    <w:rsid w:val="009D316E"/>
    <w:rsid w:val="009D3609"/>
    <w:rsid w:val="009D7994"/>
    <w:rsid w:val="009E0509"/>
    <w:rsid w:val="009E1712"/>
    <w:rsid w:val="009E3963"/>
    <w:rsid w:val="009E46B1"/>
    <w:rsid w:val="009E7AD9"/>
    <w:rsid w:val="009F1FFE"/>
    <w:rsid w:val="009F31B2"/>
    <w:rsid w:val="009F34EB"/>
    <w:rsid w:val="009F4855"/>
    <w:rsid w:val="009F60DF"/>
    <w:rsid w:val="00A030EA"/>
    <w:rsid w:val="00A04B08"/>
    <w:rsid w:val="00A04C2D"/>
    <w:rsid w:val="00A04DCF"/>
    <w:rsid w:val="00A066BF"/>
    <w:rsid w:val="00A0727B"/>
    <w:rsid w:val="00A075EF"/>
    <w:rsid w:val="00A0776C"/>
    <w:rsid w:val="00A100BF"/>
    <w:rsid w:val="00A112EC"/>
    <w:rsid w:val="00A1253B"/>
    <w:rsid w:val="00A130E7"/>
    <w:rsid w:val="00A17860"/>
    <w:rsid w:val="00A21609"/>
    <w:rsid w:val="00A22389"/>
    <w:rsid w:val="00A22C4E"/>
    <w:rsid w:val="00A24090"/>
    <w:rsid w:val="00A24C7F"/>
    <w:rsid w:val="00A25B97"/>
    <w:rsid w:val="00A25BBF"/>
    <w:rsid w:val="00A3179E"/>
    <w:rsid w:val="00A33051"/>
    <w:rsid w:val="00A331CA"/>
    <w:rsid w:val="00A33805"/>
    <w:rsid w:val="00A34DB9"/>
    <w:rsid w:val="00A3546D"/>
    <w:rsid w:val="00A35DEB"/>
    <w:rsid w:val="00A365D7"/>
    <w:rsid w:val="00A36E24"/>
    <w:rsid w:val="00A3709F"/>
    <w:rsid w:val="00A3731C"/>
    <w:rsid w:val="00A3757E"/>
    <w:rsid w:val="00A40262"/>
    <w:rsid w:val="00A40333"/>
    <w:rsid w:val="00A40BCF"/>
    <w:rsid w:val="00A40E2D"/>
    <w:rsid w:val="00A40FA5"/>
    <w:rsid w:val="00A41287"/>
    <w:rsid w:val="00A42BBA"/>
    <w:rsid w:val="00A450A0"/>
    <w:rsid w:val="00A4520A"/>
    <w:rsid w:val="00A46D08"/>
    <w:rsid w:val="00A47CB3"/>
    <w:rsid w:val="00A51A79"/>
    <w:rsid w:val="00A53021"/>
    <w:rsid w:val="00A53A2C"/>
    <w:rsid w:val="00A55909"/>
    <w:rsid w:val="00A56417"/>
    <w:rsid w:val="00A57448"/>
    <w:rsid w:val="00A6030C"/>
    <w:rsid w:val="00A6163E"/>
    <w:rsid w:val="00A650AA"/>
    <w:rsid w:val="00A65E47"/>
    <w:rsid w:val="00A65EA3"/>
    <w:rsid w:val="00A66011"/>
    <w:rsid w:val="00A678AE"/>
    <w:rsid w:val="00A67908"/>
    <w:rsid w:val="00A70125"/>
    <w:rsid w:val="00A708C8"/>
    <w:rsid w:val="00A70FA9"/>
    <w:rsid w:val="00A71F21"/>
    <w:rsid w:val="00A71F44"/>
    <w:rsid w:val="00A737B7"/>
    <w:rsid w:val="00A73F38"/>
    <w:rsid w:val="00A77774"/>
    <w:rsid w:val="00A80B2E"/>
    <w:rsid w:val="00A8489E"/>
    <w:rsid w:val="00A85309"/>
    <w:rsid w:val="00A858C3"/>
    <w:rsid w:val="00A85B90"/>
    <w:rsid w:val="00A87F68"/>
    <w:rsid w:val="00A93D75"/>
    <w:rsid w:val="00A93F81"/>
    <w:rsid w:val="00A94B75"/>
    <w:rsid w:val="00A94EC9"/>
    <w:rsid w:val="00A97321"/>
    <w:rsid w:val="00A978E5"/>
    <w:rsid w:val="00A97EBF"/>
    <w:rsid w:val="00AA04F9"/>
    <w:rsid w:val="00AA0889"/>
    <w:rsid w:val="00AA13B3"/>
    <w:rsid w:val="00AA23BA"/>
    <w:rsid w:val="00AA2E6B"/>
    <w:rsid w:val="00AA3C2E"/>
    <w:rsid w:val="00AA4870"/>
    <w:rsid w:val="00AA4A6D"/>
    <w:rsid w:val="00AA7784"/>
    <w:rsid w:val="00AB11E7"/>
    <w:rsid w:val="00AB1C39"/>
    <w:rsid w:val="00AB2414"/>
    <w:rsid w:val="00AB55D0"/>
    <w:rsid w:val="00AB56FB"/>
    <w:rsid w:val="00AB5C91"/>
    <w:rsid w:val="00AB60F8"/>
    <w:rsid w:val="00AB6EB6"/>
    <w:rsid w:val="00AC2D2E"/>
    <w:rsid w:val="00AC301A"/>
    <w:rsid w:val="00AC3246"/>
    <w:rsid w:val="00AC3317"/>
    <w:rsid w:val="00AC35D7"/>
    <w:rsid w:val="00AC3B6F"/>
    <w:rsid w:val="00AC550F"/>
    <w:rsid w:val="00AC611F"/>
    <w:rsid w:val="00AC6B73"/>
    <w:rsid w:val="00AC6F1A"/>
    <w:rsid w:val="00AC74AE"/>
    <w:rsid w:val="00AD192B"/>
    <w:rsid w:val="00AD438F"/>
    <w:rsid w:val="00AD4766"/>
    <w:rsid w:val="00AD7006"/>
    <w:rsid w:val="00AD7780"/>
    <w:rsid w:val="00AD7885"/>
    <w:rsid w:val="00AD7F93"/>
    <w:rsid w:val="00AE02D5"/>
    <w:rsid w:val="00AE0937"/>
    <w:rsid w:val="00AE0A4F"/>
    <w:rsid w:val="00AE2347"/>
    <w:rsid w:val="00AE3109"/>
    <w:rsid w:val="00AE32A1"/>
    <w:rsid w:val="00AE4129"/>
    <w:rsid w:val="00AE529B"/>
    <w:rsid w:val="00AE649F"/>
    <w:rsid w:val="00AE6C5F"/>
    <w:rsid w:val="00AE6E76"/>
    <w:rsid w:val="00AF02AD"/>
    <w:rsid w:val="00AF291D"/>
    <w:rsid w:val="00AF30DD"/>
    <w:rsid w:val="00AF581C"/>
    <w:rsid w:val="00AF5C27"/>
    <w:rsid w:val="00AF613D"/>
    <w:rsid w:val="00AF6A7E"/>
    <w:rsid w:val="00AF7313"/>
    <w:rsid w:val="00B01D46"/>
    <w:rsid w:val="00B03F3C"/>
    <w:rsid w:val="00B04E09"/>
    <w:rsid w:val="00B05431"/>
    <w:rsid w:val="00B06E7A"/>
    <w:rsid w:val="00B11E8E"/>
    <w:rsid w:val="00B1216D"/>
    <w:rsid w:val="00B154C8"/>
    <w:rsid w:val="00B1738C"/>
    <w:rsid w:val="00B21AC2"/>
    <w:rsid w:val="00B21BC8"/>
    <w:rsid w:val="00B21BE0"/>
    <w:rsid w:val="00B21D57"/>
    <w:rsid w:val="00B26138"/>
    <w:rsid w:val="00B26143"/>
    <w:rsid w:val="00B26B85"/>
    <w:rsid w:val="00B26C5E"/>
    <w:rsid w:val="00B3084C"/>
    <w:rsid w:val="00B329DF"/>
    <w:rsid w:val="00B32FAC"/>
    <w:rsid w:val="00B34A5D"/>
    <w:rsid w:val="00B361A5"/>
    <w:rsid w:val="00B36583"/>
    <w:rsid w:val="00B372DE"/>
    <w:rsid w:val="00B37394"/>
    <w:rsid w:val="00B423B3"/>
    <w:rsid w:val="00B4292D"/>
    <w:rsid w:val="00B42D14"/>
    <w:rsid w:val="00B43ADE"/>
    <w:rsid w:val="00B44B77"/>
    <w:rsid w:val="00B46951"/>
    <w:rsid w:val="00B52E35"/>
    <w:rsid w:val="00B5320A"/>
    <w:rsid w:val="00B53AD9"/>
    <w:rsid w:val="00B53E3D"/>
    <w:rsid w:val="00B5583D"/>
    <w:rsid w:val="00B566E0"/>
    <w:rsid w:val="00B56BB9"/>
    <w:rsid w:val="00B57119"/>
    <w:rsid w:val="00B60727"/>
    <w:rsid w:val="00B63F94"/>
    <w:rsid w:val="00B64DE9"/>
    <w:rsid w:val="00B65206"/>
    <w:rsid w:val="00B66D3D"/>
    <w:rsid w:val="00B67759"/>
    <w:rsid w:val="00B70F40"/>
    <w:rsid w:val="00B71560"/>
    <w:rsid w:val="00B71C49"/>
    <w:rsid w:val="00B71E95"/>
    <w:rsid w:val="00B73120"/>
    <w:rsid w:val="00B7599E"/>
    <w:rsid w:val="00B761BB"/>
    <w:rsid w:val="00B80DFC"/>
    <w:rsid w:val="00B80EDE"/>
    <w:rsid w:val="00B84254"/>
    <w:rsid w:val="00B859B8"/>
    <w:rsid w:val="00B87988"/>
    <w:rsid w:val="00B87B37"/>
    <w:rsid w:val="00B90574"/>
    <w:rsid w:val="00B90ABB"/>
    <w:rsid w:val="00B90CBD"/>
    <w:rsid w:val="00B912DA"/>
    <w:rsid w:val="00B9265A"/>
    <w:rsid w:val="00B92E98"/>
    <w:rsid w:val="00B9528F"/>
    <w:rsid w:val="00B9529C"/>
    <w:rsid w:val="00B9543F"/>
    <w:rsid w:val="00B9553B"/>
    <w:rsid w:val="00BA2567"/>
    <w:rsid w:val="00BA3397"/>
    <w:rsid w:val="00BA606B"/>
    <w:rsid w:val="00BA78B0"/>
    <w:rsid w:val="00BA7DC3"/>
    <w:rsid w:val="00BB37E5"/>
    <w:rsid w:val="00BB3ECA"/>
    <w:rsid w:val="00BB40B8"/>
    <w:rsid w:val="00BB471C"/>
    <w:rsid w:val="00BB53CB"/>
    <w:rsid w:val="00BB5F5E"/>
    <w:rsid w:val="00BB61E6"/>
    <w:rsid w:val="00BB62E8"/>
    <w:rsid w:val="00BB6415"/>
    <w:rsid w:val="00BB767C"/>
    <w:rsid w:val="00BC045F"/>
    <w:rsid w:val="00BC12CD"/>
    <w:rsid w:val="00BC144C"/>
    <w:rsid w:val="00BC1890"/>
    <w:rsid w:val="00BC229A"/>
    <w:rsid w:val="00BC5C4C"/>
    <w:rsid w:val="00BC64E2"/>
    <w:rsid w:val="00BC6B83"/>
    <w:rsid w:val="00BC6DAD"/>
    <w:rsid w:val="00BD1145"/>
    <w:rsid w:val="00BD2189"/>
    <w:rsid w:val="00BD2936"/>
    <w:rsid w:val="00BD2971"/>
    <w:rsid w:val="00BD3B23"/>
    <w:rsid w:val="00BD40F4"/>
    <w:rsid w:val="00BD5259"/>
    <w:rsid w:val="00BD5772"/>
    <w:rsid w:val="00BD7565"/>
    <w:rsid w:val="00BE174B"/>
    <w:rsid w:val="00BE2A3D"/>
    <w:rsid w:val="00BE3611"/>
    <w:rsid w:val="00BE4F83"/>
    <w:rsid w:val="00BE5099"/>
    <w:rsid w:val="00BE53FC"/>
    <w:rsid w:val="00BE573A"/>
    <w:rsid w:val="00BE63C9"/>
    <w:rsid w:val="00BE79E6"/>
    <w:rsid w:val="00BF2A99"/>
    <w:rsid w:val="00BF2B76"/>
    <w:rsid w:val="00BF303D"/>
    <w:rsid w:val="00BF3D62"/>
    <w:rsid w:val="00BF3FF4"/>
    <w:rsid w:val="00BF4A83"/>
    <w:rsid w:val="00BF5678"/>
    <w:rsid w:val="00BF6518"/>
    <w:rsid w:val="00BF6B61"/>
    <w:rsid w:val="00BF7FC6"/>
    <w:rsid w:val="00C01A3A"/>
    <w:rsid w:val="00C01DA2"/>
    <w:rsid w:val="00C020F9"/>
    <w:rsid w:val="00C0383A"/>
    <w:rsid w:val="00C03D3A"/>
    <w:rsid w:val="00C03FE1"/>
    <w:rsid w:val="00C04197"/>
    <w:rsid w:val="00C048B1"/>
    <w:rsid w:val="00C0539B"/>
    <w:rsid w:val="00C056EE"/>
    <w:rsid w:val="00C05C8D"/>
    <w:rsid w:val="00C07B14"/>
    <w:rsid w:val="00C1063E"/>
    <w:rsid w:val="00C10713"/>
    <w:rsid w:val="00C117A2"/>
    <w:rsid w:val="00C131FB"/>
    <w:rsid w:val="00C15341"/>
    <w:rsid w:val="00C17796"/>
    <w:rsid w:val="00C20E1F"/>
    <w:rsid w:val="00C21258"/>
    <w:rsid w:val="00C215E3"/>
    <w:rsid w:val="00C234E3"/>
    <w:rsid w:val="00C24D9F"/>
    <w:rsid w:val="00C37429"/>
    <w:rsid w:val="00C411E5"/>
    <w:rsid w:val="00C417AD"/>
    <w:rsid w:val="00C452B7"/>
    <w:rsid w:val="00C45A12"/>
    <w:rsid w:val="00C46D76"/>
    <w:rsid w:val="00C46DC8"/>
    <w:rsid w:val="00C500B1"/>
    <w:rsid w:val="00C500DE"/>
    <w:rsid w:val="00C51B02"/>
    <w:rsid w:val="00C51F56"/>
    <w:rsid w:val="00C52437"/>
    <w:rsid w:val="00C53BA5"/>
    <w:rsid w:val="00C53E7F"/>
    <w:rsid w:val="00C53F5E"/>
    <w:rsid w:val="00C5405D"/>
    <w:rsid w:val="00C543EA"/>
    <w:rsid w:val="00C56C4B"/>
    <w:rsid w:val="00C577CE"/>
    <w:rsid w:val="00C6091E"/>
    <w:rsid w:val="00C60BB5"/>
    <w:rsid w:val="00C6229E"/>
    <w:rsid w:val="00C62FBC"/>
    <w:rsid w:val="00C630C0"/>
    <w:rsid w:val="00C633C3"/>
    <w:rsid w:val="00C65A58"/>
    <w:rsid w:val="00C65FAA"/>
    <w:rsid w:val="00C6749A"/>
    <w:rsid w:val="00C7317A"/>
    <w:rsid w:val="00C74A60"/>
    <w:rsid w:val="00C76857"/>
    <w:rsid w:val="00C77B4B"/>
    <w:rsid w:val="00C77FD7"/>
    <w:rsid w:val="00C81ECD"/>
    <w:rsid w:val="00C84CA4"/>
    <w:rsid w:val="00C84EF2"/>
    <w:rsid w:val="00C8530A"/>
    <w:rsid w:val="00C8580C"/>
    <w:rsid w:val="00C8595C"/>
    <w:rsid w:val="00C87CFF"/>
    <w:rsid w:val="00C91EEF"/>
    <w:rsid w:val="00C92B04"/>
    <w:rsid w:val="00C92D6E"/>
    <w:rsid w:val="00C93302"/>
    <w:rsid w:val="00C96476"/>
    <w:rsid w:val="00C966E5"/>
    <w:rsid w:val="00C9746E"/>
    <w:rsid w:val="00C97D01"/>
    <w:rsid w:val="00CA07E5"/>
    <w:rsid w:val="00CA124D"/>
    <w:rsid w:val="00CA1D9C"/>
    <w:rsid w:val="00CA2F94"/>
    <w:rsid w:val="00CA5643"/>
    <w:rsid w:val="00CA5CD4"/>
    <w:rsid w:val="00CB0602"/>
    <w:rsid w:val="00CB2706"/>
    <w:rsid w:val="00CB32BB"/>
    <w:rsid w:val="00CB53CC"/>
    <w:rsid w:val="00CB62EF"/>
    <w:rsid w:val="00CB77AC"/>
    <w:rsid w:val="00CC02B6"/>
    <w:rsid w:val="00CC0515"/>
    <w:rsid w:val="00CC0BA0"/>
    <w:rsid w:val="00CC1EDA"/>
    <w:rsid w:val="00CC218A"/>
    <w:rsid w:val="00CC3230"/>
    <w:rsid w:val="00CC4394"/>
    <w:rsid w:val="00CC44AE"/>
    <w:rsid w:val="00CC5671"/>
    <w:rsid w:val="00CC68F4"/>
    <w:rsid w:val="00CC770D"/>
    <w:rsid w:val="00CD1E58"/>
    <w:rsid w:val="00CD3365"/>
    <w:rsid w:val="00CD471E"/>
    <w:rsid w:val="00CD482D"/>
    <w:rsid w:val="00CD48A2"/>
    <w:rsid w:val="00CD4FD0"/>
    <w:rsid w:val="00CD52DA"/>
    <w:rsid w:val="00CD6BC9"/>
    <w:rsid w:val="00CD7A14"/>
    <w:rsid w:val="00CE0E5F"/>
    <w:rsid w:val="00CE22CB"/>
    <w:rsid w:val="00CE2FCF"/>
    <w:rsid w:val="00CE318F"/>
    <w:rsid w:val="00CE5461"/>
    <w:rsid w:val="00CE6B10"/>
    <w:rsid w:val="00CE6C4B"/>
    <w:rsid w:val="00CF36D8"/>
    <w:rsid w:val="00CF43C8"/>
    <w:rsid w:val="00CF46D5"/>
    <w:rsid w:val="00CF4736"/>
    <w:rsid w:val="00CF74BE"/>
    <w:rsid w:val="00CF7ADB"/>
    <w:rsid w:val="00D0033D"/>
    <w:rsid w:val="00D006B0"/>
    <w:rsid w:val="00D00BE4"/>
    <w:rsid w:val="00D0101C"/>
    <w:rsid w:val="00D02560"/>
    <w:rsid w:val="00D033B5"/>
    <w:rsid w:val="00D04121"/>
    <w:rsid w:val="00D051E7"/>
    <w:rsid w:val="00D0793C"/>
    <w:rsid w:val="00D07B26"/>
    <w:rsid w:val="00D111BB"/>
    <w:rsid w:val="00D1246C"/>
    <w:rsid w:val="00D12661"/>
    <w:rsid w:val="00D13E2C"/>
    <w:rsid w:val="00D14FF6"/>
    <w:rsid w:val="00D155CF"/>
    <w:rsid w:val="00D1702F"/>
    <w:rsid w:val="00D170E0"/>
    <w:rsid w:val="00D20EEA"/>
    <w:rsid w:val="00D229F0"/>
    <w:rsid w:val="00D23291"/>
    <w:rsid w:val="00D23533"/>
    <w:rsid w:val="00D24B67"/>
    <w:rsid w:val="00D25C54"/>
    <w:rsid w:val="00D338D3"/>
    <w:rsid w:val="00D33F03"/>
    <w:rsid w:val="00D360C6"/>
    <w:rsid w:val="00D365C0"/>
    <w:rsid w:val="00D40B48"/>
    <w:rsid w:val="00D4241B"/>
    <w:rsid w:val="00D42D0E"/>
    <w:rsid w:val="00D445DC"/>
    <w:rsid w:val="00D45287"/>
    <w:rsid w:val="00D4573D"/>
    <w:rsid w:val="00D46EEB"/>
    <w:rsid w:val="00D475F2"/>
    <w:rsid w:val="00D4768A"/>
    <w:rsid w:val="00D5067B"/>
    <w:rsid w:val="00D50683"/>
    <w:rsid w:val="00D508FE"/>
    <w:rsid w:val="00D5094C"/>
    <w:rsid w:val="00D519FF"/>
    <w:rsid w:val="00D5274E"/>
    <w:rsid w:val="00D53693"/>
    <w:rsid w:val="00D537A9"/>
    <w:rsid w:val="00D547AC"/>
    <w:rsid w:val="00D5490A"/>
    <w:rsid w:val="00D55357"/>
    <w:rsid w:val="00D557A0"/>
    <w:rsid w:val="00D562FA"/>
    <w:rsid w:val="00D567DE"/>
    <w:rsid w:val="00D60A82"/>
    <w:rsid w:val="00D61169"/>
    <w:rsid w:val="00D6122C"/>
    <w:rsid w:val="00D61F43"/>
    <w:rsid w:val="00D63F07"/>
    <w:rsid w:val="00D654F0"/>
    <w:rsid w:val="00D664D5"/>
    <w:rsid w:val="00D66C0A"/>
    <w:rsid w:val="00D72E5B"/>
    <w:rsid w:val="00D745C3"/>
    <w:rsid w:val="00D75D8E"/>
    <w:rsid w:val="00D76A41"/>
    <w:rsid w:val="00D76FB8"/>
    <w:rsid w:val="00D77F0A"/>
    <w:rsid w:val="00D8053D"/>
    <w:rsid w:val="00D80B1A"/>
    <w:rsid w:val="00D828CE"/>
    <w:rsid w:val="00D832FA"/>
    <w:rsid w:val="00D83F62"/>
    <w:rsid w:val="00D85C6B"/>
    <w:rsid w:val="00D86DAC"/>
    <w:rsid w:val="00D907CC"/>
    <w:rsid w:val="00D90AE9"/>
    <w:rsid w:val="00D90CAD"/>
    <w:rsid w:val="00D92A5C"/>
    <w:rsid w:val="00D93747"/>
    <w:rsid w:val="00D93C60"/>
    <w:rsid w:val="00D93FCC"/>
    <w:rsid w:val="00D94365"/>
    <w:rsid w:val="00D94388"/>
    <w:rsid w:val="00D944F3"/>
    <w:rsid w:val="00D9534E"/>
    <w:rsid w:val="00D955F1"/>
    <w:rsid w:val="00DA2236"/>
    <w:rsid w:val="00DA2485"/>
    <w:rsid w:val="00DA3338"/>
    <w:rsid w:val="00DA4B47"/>
    <w:rsid w:val="00DA4D00"/>
    <w:rsid w:val="00DA5FB5"/>
    <w:rsid w:val="00DB307A"/>
    <w:rsid w:val="00DB441E"/>
    <w:rsid w:val="00DB4DA3"/>
    <w:rsid w:val="00DC1D5F"/>
    <w:rsid w:val="00DC1FAD"/>
    <w:rsid w:val="00DC20F9"/>
    <w:rsid w:val="00DC46F4"/>
    <w:rsid w:val="00DC56ED"/>
    <w:rsid w:val="00DC6173"/>
    <w:rsid w:val="00DC7F24"/>
    <w:rsid w:val="00DD08E7"/>
    <w:rsid w:val="00DD52DE"/>
    <w:rsid w:val="00DD7107"/>
    <w:rsid w:val="00DE28C4"/>
    <w:rsid w:val="00DE29A8"/>
    <w:rsid w:val="00DE4225"/>
    <w:rsid w:val="00DE6006"/>
    <w:rsid w:val="00DE7A57"/>
    <w:rsid w:val="00DE7C1A"/>
    <w:rsid w:val="00DF1747"/>
    <w:rsid w:val="00DF43EA"/>
    <w:rsid w:val="00DF4C02"/>
    <w:rsid w:val="00DF52BC"/>
    <w:rsid w:val="00DF5FB1"/>
    <w:rsid w:val="00DF7393"/>
    <w:rsid w:val="00DF781B"/>
    <w:rsid w:val="00E009F3"/>
    <w:rsid w:val="00E00DDC"/>
    <w:rsid w:val="00E01FA7"/>
    <w:rsid w:val="00E0274F"/>
    <w:rsid w:val="00E02F5C"/>
    <w:rsid w:val="00E0432C"/>
    <w:rsid w:val="00E048E5"/>
    <w:rsid w:val="00E061F3"/>
    <w:rsid w:val="00E07B26"/>
    <w:rsid w:val="00E07F21"/>
    <w:rsid w:val="00E13FB6"/>
    <w:rsid w:val="00E1487A"/>
    <w:rsid w:val="00E16DAB"/>
    <w:rsid w:val="00E2006D"/>
    <w:rsid w:val="00E21946"/>
    <w:rsid w:val="00E22756"/>
    <w:rsid w:val="00E235AF"/>
    <w:rsid w:val="00E25815"/>
    <w:rsid w:val="00E26F1D"/>
    <w:rsid w:val="00E279A6"/>
    <w:rsid w:val="00E311AB"/>
    <w:rsid w:val="00E3140F"/>
    <w:rsid w:val="00E31A51"/>
    <w:rsid w:val="00E31F6C"/>
    <w:rsid w:val="00E3275C"/>
    <w:rsid w:val="00E33021"/>
    <w:rsid w:val="00E33342"/>
    <w:rsid w:val="00E3344C"/>
    <w:rsid w:val="00E339BB"/>
    <w:rsid w:val="00E35CC1"/>
    <w:rsid w:val="00E40738"/>
    <w:rsid w:val="00E42B06"/>
    <w:rsid w:val="00E43C88"/>
    <w:rsid w:val="00E45060"/>
    <w:rsid w:val="00E47625"/>
    <w:rsid w:val="00E535E4"/>
    <w:rsid w:val="00E54236"/>
    <w:rsid w:val="00E543F8"/>
    <w:rsid w:val="00E54FC6"/>
    <w:rsid w:val="00E55DD8"/>
    <w:rsid w:val="00E56BE0"/>
    <w:rsid w:val="00E56F4D"/>
    <w:rsid w:val="00E577AD"/>
    <w:rsid w:val="00E57F4D"/>
    <w:rsid w:val="00E57FDC"/>
    <w:rsid w:val="00E600D2"/>
    <w:rsid w:val="00E60ED6"/>
    <w:rsid w:val="00E611C6"/>
    <w:rsid w:val="00E62037"/>
    <w:rsid w:val="00E630BD"/>
    <w:rsid w:val="00E64DD1"/>
    <w:rsid w:val="00E65773"/>
    <w:rsid w:val="00E65A5A"/>
    <w:rsid w:val="00E65DE3"/>
    <w:rsid w:val="00E666D0"/>
    <w:rsid w:val="00E6719F"/>
    <w:rsid w:val="00E726D8"/>
    <w:rsid w:val="00E72946"/>
    <w:rsid w:val="00E757E9"/>
    <w:rsid w:val="00E7593F"/>
    <w:rsid w:val="00E768F9"/>
    <w:rsid w:val="00E771B0"/>
    <w:rsid w:val="00E77F8A"/>
    <w:rsid w:val="00E810FF"/>
    <w:rsid w:val="00E8219A"/>
    <w:rsid w:val="00E8229F"/>
    <w:rsid w:val="00E829CB"/>
    <w:rsid w:val="00E8517B"/>
    <w:rsid w:val="00E8554D"/>
    <w:rsid w:val="00E859F8"/>
    <w:rsid w:val="00E875DE"/>
    <w:rsid w:val="00E87C9B"/>
    <w:rsid w:val="00E9018A"/>
    <w:rsid w:val="00E93090"/>
    <w:rsid w:val="00E93C34"/>
    <w:rsid w:val="00E97AB3"/>
    <w:rsid w:val="00EA1203"/>
    <w:rsid w:val="00EA2BCA"/>
    <w:rsid w:val="00EA2C71"/>
    <w:rsid w:val="00EA7E56"/>
    <w:rsid w:val="00EB021E"/>
    <w:rsid w:val="00EB05ED"/>
    <w:rsid w:val="00EB065E"/>
    <w:rsid w:val="00EB0C4B"/>
    <w:rsid w:val="00EB0DC4"/>
    <w:rsid w:val="00EB0E52"/>
    <w:rsid w:val="00EB1F77"/>
    <w:rsid w:val="00EB506E"/>
    <w:rsid w:val="00EC1B06"/>
    <w:rsid w:val="00EC4273"/>
    <w:rsid w:val="00EC63A7"/>
    <w:rsid w:val="00ED0D35"/>
    <w:rsid w:val="00ED1E20"/>
    <w:rsid w:val="00ED2FB9"/>
    <w:rsid w:val="00ED4C47"/>
    <w:rsid w:val="00ED4D48"/>
    <w:rsid w:val="00ED70B4"/>
    <w:rsid w:val="00ED734A"/>
    <w:rsid w:val="00EE2A0A"/>
    <w:rsid w:val="00EE2DA4"/>
    <w:rsid w:val="00EE4005"/>
    <w:rsid w:val="00EE4C19"/>
    <w:rsid w:val="00EE4C40"/>
    <w:rsid w:val="00EE774B"/>
    <w:rsid w:val="00EF170D"/>
    <w:rsid w:val="00EF17E5"/>
    <w:rsid w:val="00EF19BF"/>
    <w:rsid w:val="00EF23AC"/>
    <w:rsid w:val="00EF33E9"/>
    <w:rsid w:val="00EF36DF"/>
    <w:rsid w:val="00EF6096"/>
    <w:rsid w:val="00EF65C0"/>
    <w:rsid w:val="00EF7534"/>
    <w:rsid w:val="00EF7B68"/>
    <w:rsid w:val="00EF7BA0"/>
    <w:rsid w:val="00F00972"/>
    <w:rsid w:val="00F01B20"/>
    <w:rsid w:val="00F02047"/>
    <w:rsid w:val="00F032DB"/>
    <w:rsid w:val="00F0346D"/>
    <w:rsid w:val="00F03CD9"/>
    <w:rsid w:val="00F03F58"/>
    <w:rsid w:val="00F05511"/>
    <w:rsid w:val="00F06C75"/>
    <w:rsid w:val="00F0711F"/>
    <w:rsid w:val="00F0715F"/>
    <w:rsid w:val="00F071CD"/>
    <w:rsid w:val="00F10C7F"/>
    <w:rsid w:val="00F110C9"/>
    <w:rsid w:val="00F11612"/>
    <w:rsid w:val="00F124CD"/>
    <w:rsid w:val="00F127FE"/>
    <w:rsid w:val="00F1285B"/>
    <w:rsid w:val="00F13E92"/>
    <w:rsid w:val="00F14DB7"/>
    <w:rsid w:val="00F14F6E"/>
    <w:rsid w:val="00F160A1"/>
    <w:rsid w:val="00F20994"/>
    <w:rsid w:val="00F22C96"/>
    <w:rsid w:val="00F22ED1"/>
    <w:rsid w:val="00F24866"/>
    <w:rsid w:val="00F27225"/>
    <w:rsid w:val="00F30258"/>
    <w:rsid w:val="00F313E2"/>
    <w:rsid w:val="00F32B6C"/>
    <w:rsid w:val="00F34C00"/>
    <w:rsid w:val="00F361E3"/>
    <w:rsid w:val="00F36CBF"/>
    <w:rsid w:val="00F401C9"/>
    <w:rsid w:val="00F407D9"/>
    <w:rsid w:val="00F41844"/>
    <w:rsid w:val="00F41E24"/>
    <w:rsid w:val="00F427C8"/>
    <w:rsid w:val="00F45A66"/>
    <w:rsid w:val="00F47A5A"/>
    <w:rsid w:val="00F504AD"/>
    <w:rsid w:val="00F51460"/>
    <w:rsid w:val="00F54EDC"/>
    <w:rsid w:val="00F60526"/>
    <w:rsid w:val="00F6130E"/>
    <w:rsid w:val="00F61EE2"/>
    <w:rsid w:val="00F625E4"/>
    <w:rsid w:val="00F65C61"/>
    <w:rsid w:val="00F66421"/>
    <w:rsid w:val="00F67759"/>
    <w:rsid w:val="00F72551"/>
    <w:rsid w:val="00F73484"/>
    <w:rsid w:val="00F740B2"/>
    <w:rsid w:val="00F748B8"/>
    <w:rsid w:val="00F75069"/>
    <w:rsid w:val="00F75123"/>
    <w:rsid w:val="00F76090"/>
    <w:rsid w:val="00F77C8E"/>
    <w:rsid w:val="00F80464"/>
    <w:rsid w:val="00F8342E"/>
    <w:rsid w:val="00F83D75"/>
    <w:rsid w:val="00F8456D"/>
    <w:rsid w:val="00F847C6"/>
    <w:rsid w:val="00F87CC2"/>
    <w:rsid w:val="00F9063F"/>
    <w:rsid w:val="00F907CC"/>
    <w:rsid w:val="00F90B81"/>
    <w:rsid w:val="00F912E2"/>
    <w:rsid w:val="00F91DD6"/>
    <w:rsid w:val="00F9528D"/>
    <w:rsid w:val="00F96F2A"/>
    <w:rsid w:val="00F97818"/>
    <w:rsid w:val="00FA1933"/>
    <w:rsid w:val="00FA271F"/>
    <w:rsid w:val="00FA7E7A"/>
    <w:rsid w:val="00FB0E0E"/>
    <w:rsid w:val="00FB0EBD"/>
    <w:rsid w:val="00FB151D"/>
    <w:rsid w:val="00FB27E2"/>
    <w:rsid w:val="00FB2D03"/>
    <w:rsid w:val="00FB44B4"/>
    <w:rsid w:val="00FB44BC"/>
    <w:rsid w:val="00FB4F69"/>
    <w:rsid w:val="00FB5BC6"/>
    <w:rsid w:val="00FB73F4"/>
    <w:rsid w:val="00FB784C"/>
    <w:rsid w:val="00FC0346"/>
    <w:rsid w:val="00FC271A"/>
    <w:rsid w:val="00FC2F1F"/>
    <w:rsid w:val="00FC3252"/>
    <w:rsid w:val="00FC4899"/>
    <w:rsid w:val="00FC4A60"/>
    <w:rsid w:val="00FC532D"/>
    <w:rsid w:val="00FC59BB"/>
    <w:rsid w:val="00FC7074"/>
    <w:rsid w:val="00FD0FA7"/>
    <w:rsid w:val="00FD2AF8"/>
    <w:rsid w:val="00FD3C9B"/>
    <w:rsid w:val="00FD3D7B"/>
    <w:rsid w:val="00FD4076"/>
    <w:rsid w:val="00FE01CF"/>
    <w:rsid w:val="00FE03A2"/>
    <w:rsid w:val="00FE0B80"/>
    <w:rsid w:val="00FE21DA"/>
    <w:rsid w:val="00FE2D09"/>
    <w:rsid w:val="00FE2E38"/>
    <w:rsid w:val="00FE37C0"/>
    <w:rsid w:val="00FE3E44"/>
    <w:rsid w:val="00FE4E97"/>
    <w:rsid w:val="00FE51E3"/>
    <w:rsid w:val="00FE5708"/>
    <w:rsid w:val="00FE5D7D"/>
    <w:rsid w:val="00FF1AE9"/>
    <w:rsid w:val="00FF1DE6"/>
    <w:rsid w:val="00FF44B7"/>
    <w:rsid w:val="00FF4EFD"/>
    <w:rsid w:val="00FF5CD6"/>
    <w:rsid w:val="00FF5E86"/>
    <w:rsid w:val="00FF69CA"/>
    <w:rsid w:val="0147153B"/>
    <w:rsid w:val="01EA0118"/>
    <w:rsid w:val="01F979C5"/>
    <w:rsid w:val="020236B3"/>
    <w:rsid w:val="028A23CF"/>
    <w:rsid w:val="02B63F43"/>
    <w:rsid w:val="02D718CF"/>
    <w:rsid w:val="030F52BB"/>
    <w:rsid w:val="031606A4"/>
    <w:rsid w:val="03411945"/>
    <w:rsid w:val="036A1510"/>
    <w:rsid w:val="0430705D"/>
    <w:rsid w:val="043438CC"/>
    <w:rsid w:val="04392737"/>
    <w:rsid w:val="04460794"/>
    <w:rsid w:val="04603C01"/>
    <w:rsid w:val="04667659"/>
    <w:rsid w:val="047606E6"/>
    <w:rsid w:val="04826D2E"/>
    <w:rsid w:val="04877EA0"/>
    <w:rsid w:val="04C85EED"/>
    <w:rsid w:val="051F457C"/>
    <w:rsid w:val="053C6EDC"/>
    <w:rsid w:val="05505B9C"/>
    <w:rsid w:val="062F2E84"/>
    <w:rsid w:val="06A60006"/>
    <w:rsid w:val="06B20055"/>
    <w:rsid w:val="06C13B3D"/>
    <w:rsid w:val="072B073A"/>
    <w:rsid w:val="073F7FD1"/>
    <w:rsid w:val="076D3498"/>
    <w:rsid w:val="07A019A5"/>
    <w:rsid w:val="07BE57C1"/>
    <w:rsid w:val="07D7113E"/>
    <w:rsid w:val="07F341CA"/>
    <w:rsid w:val="07F615C4"/>
    <w:rsid w:val="08040470"/>
    <w:rsid w:val="080E0192"/>
    <w:rsid w:val="08471E20"/>
    <w:rsid w:val="08961C42"/>
    <w:rsid w:val="089B03BE"/>
    <w:rsid w:val="08A81A9D"/>
    <w:rsid w:val="08CA2A04"/>
    <w:rsid w:val="08FD60B1"/>
    <w:rsid w:val="09342A1B"/>
    <w:rsid w:val="096627B6"/>
    <w:rsid w:val="099916DB"/>
    <w:rsid w:val="0A1F1E7E"/>
    <w:rsid w:val="0A432ABB"/>
    <w:rsid w:val="0A5B1BB3"/>
    <w:rsid w:val="0A892BC4"/>
    <w:rsid w:val="0A8B4363"/>
    <w:rsid w:val="0ADB7197"/>
    <w:rsid w:val="0AFD0EBC"/>
    <w:rsid w:val="0B297205"/>
    <w:rsid w:val="0B5C629B"/>
    <w:rsid w:val="0B6B051B"/>
    <w:rsid w:val="0BB377CC"/>
    <w:rsid w:val="0C087F26"/>
    <w:rsid w:val="0C2A5E56"/>
    <w:rsid w:val="0C7C4B79"/>
    <w:rsid w:val="0CA62541"/>
    <w:rsid w:val="0CFE5935"/>
    <w:rsid w:val="0D020B26"/>
    <w:rsid w:val="0D305579"/>
    <w:rsid w:val="0D367E8D"/>
    <w:rsid w:val="0D3F6730"/>
    <w:rsid w:val="0D6945E7"/>
    <w:rsid w:val="0D913311"/>
    <w:rsid w:val="0DC91529"/>
    <w:rsid w:val="0DE85E53"/>
    <w:rsid w:val="0DF251AA"/>
    <w:rsid w:val="0E107158"/>
    <w:rsid w:val="0E477469"/>
    <w:rsid w:val="0EFF1E2C"/>
    <w:rsid w:val="0F1F3AF7"/>
    <w:rsid w:val="0F265029"/>
    <w:rsid w:val="0F320D2A"/>
    <w:rsid w:val="0F6F2D99"/>
    <w:rsid w:val="0FB96344"/>
    <w:rsid w:val="103C3741"/>
    <w:rsid w:val="107C6234"/>
    <w:rsid w:val="10B63FE7"/>
    <w:rsid w:val="10BF512D"/>
    <w:rsid w:val="10CE1D3F"/>
    <w:rsid w:val="10DC18BD"/>
    <w:rsid w:val="10EA5AEA"/>
    <w:rsid w:val="11CA44CC"/>
    <w:rsid w:val="11D44EE5"/>
    <w:rsid w:val="11FC1ECD"/>
    <w:rsid w:val="1215655D"/>
    <w:rsid w:val="122D02D9"/>
    <w:rsid w:val="12AC6AAE"/>
    <w:rsid w:val="12B878BF"/>
    <w:rsid w:val="12BD1894"/>
    <w:rsid w:val="12D746E8"/>
    <w:rsid w:val="12FB292B"/>
    <w:rsid w:val="13427DB4"/>
    <w:rsid w:val="135D2E40"/>
    <w:rsid w:val="13B710D6"/>
    <w:rsid w:val="13F74936"/>
    <w:rsid w:val="140C54F8"/>
    <w:rsid w:val="1432402B"/>
    <w:rsid w:val="14395CCF"/>
    <w:rsid w:val="143C457E"/>
    <w:rsid w:val="147D3BC6"/>
    <w:rsid w:val="14922675"/>
    <w:rsid w:val="14AF1479"/>
    <w:rsid w:val="151439D2"/>
    <w:rsid w:val="15280082"/>
    <w:rsid w:val="15712BD2"/>
    <w:rsid w:val="157D3325"/>
    <w:rsid w:val="15897F1C"/>
    <w:rsid w:val="159B2DCD"/>
    <w:rsid w:val="15A46B04"/>
    <w:rsid w:val="15C1068C"/>
    <w:rsid w:val="15C251DC"/>
    <w:rsid w:val="15D373E9"/>
    <w:rsid w:val="168A5A69"/>
    <w:rsid w:val="16A11B68"/>
    <w:rsid w:val="16D522ED"/>
    <w:rsid w:val="173011F4"/>
    <w:rsid w:val="178907B2"/>
    <w:rsid w:val="17A252C5"/>
    <w:rsid w:val="17B51BC7"/>
    <w:rsid w:val="17C90AA4"/>
    <w:rsid w:val="18001201"/>
    <w:rsid w:val="1804388A"/>
    <w:rsid w:val="18047D2E"/>
    <w:rsid w:val="18932E60"/>
    <w:rsid w:val="18B97BDA"/>
    <w:rsid w:val="18C010AA"/>
    <w:rsid w:val="18C02602"/>
    <w:rsid w:val="18C354F3"/>
    <w:rsid w:val="18C53635"/>
    <w:rsid w:val="18D05E62"/>
    <w:rsid w:val="18DA5ED3"/>
    <w:rsid w:val="18EB603A"/>
    <w:rsid w:val="18F178C8"/>
    <w:rsid w:val="190A0433"/>
    <w:rsid w:val="19AF7825"/>
    <w:rsid w:val="19B57B9A"/>
    <w:rsid w:val="19C00160"/>
    <w:rsid w:val="19CB643C"/>
    <w:rsid w:val="1A197394"/>
    <w:rsid w:val="1A2A7322"/>
    <w:rsid w:val="1A3D1F98"/>
    <w:rsid w:val="1A8717B1"/>
    <w:rsid w:val="1ACD2659"/>
    <w:rsid w:val="1AF37BE5"/>
    <w:rsid w:val="1B2B55D1"/>
    <w:rsid w:val="1B7F118C"/>
    <w:rsid w:val="1BD505FF"/>
    <w:rsid w:val="1BDE355A"/>
    <w:rsid w:val="1C346708"/>
    <w:rsid w:val="1C422E97"/>
    <w:rsid w:val="1C427B26"/>
    <w:rsid w:val="1C806116"/>
    <w:rsid w:val="1CE27B24"/>
    <w:rsid w:val="1D3544E5"/>
    <w:rsid w:val="1D5A0C76"/>
    <w:rsid w:val="1D6C5C70"/>
    <w:rsid w:val="1D874FC7"/>
    <w:rsid w:val="1D9358BE"/>
    <w:rsid w:val="1D9C3CB2"/>
    <w:rsid w:val="1DDD053E"/>
    <w:rsid w:val="1DE71C83"/>
    <w:rsid w:val="1E122A78"/>
    <w:rsid w:val="1E7D6144"/>
    <w:rsid w:val="1E9F255E"/>
    <w:rsid w:val="1EDD71B1"/>
    <w:rsid w:val="1EE150CA"/>
    <w:rsid w:val="1EFC1634"/>
    <w:rsid w:val="1F377AC9"/>
    <w:rsid w:val="1F496A46"/>
    <w:rsid w:val="1FD77AD6"/>
    <w:rsid w:val="200112C9"/>
    <w:rsid w:val="204F1D62"/>
    <w:rsid w:val="20605D1D"/>
    <w:rsid w:val="208032D3"/>
    <w:rsid w:val="20CD585E"/>
    <w:rsid w:val="20EA3144"/>
    <w:rsid w:val="210668C5"/>
    <w:rsid w:val="210D0B2C"/>
    <w:rsid w:val="21472FA9"/>
    <w:rsid w:val="217575A6"/>
    <w:rsid w:val="21845A3B"/>
    <w:rsid w:val="21A41C3A"/>
    <w:rsid w:val="21A71F3D"/>
    <w:rsid w:val="223D3B12"/>
    <w:rsid w:val="225B2C40"/>
    <w:rsid w:val="2268575A"/>
    <w:rsid w:val="22CE4ABA"/>
    <w:rsid w:val="22E20C6B"/>
    <w:rsid w:val="234D1378"/>
    <w:rsid w:val="23850E10"/>
    <w:rsid w:val="238F61D4"/>
    <w:rsid w:val="239916DB"/>
    <w:rsid w:val="23BF5E8D"/>
    <w:rsid w:val="23D2194E"/>
    <w:rsid w:val="24317A40"/>
    <w:rsid w:val="24360360"/>
    <w:rsid w:val="24493A91"/>
    <w:rsid w:val="24BC370C"/>
    <w:rsid w:val="250112B2"/>
    <w:rsid w:val="25205A7B"/>
    <w:rsid w:val="256E67DE"/>
    <w:rsid w:val="257A4651"/>
    <w:rsid w:val="25B6018D"/>
    <w:rsid w:val="25F27417"/>
    <w:rsid w:val="25FA1133"/>
    <w:rsid w:val="261804B4"/>
    <w:rsid w:val="265E46F1"/>
    <w:rsid w:val="26887D7C"/>
    <w:rsid w:val="26B55F7C"/>
    <w:rsid w:val="26BF4371"/>
    <w:rsid w:val="26F86ADE"/>
    <w:rsid w:val="26FB054E"/>
    <w:rsid w:val="275D3CB3"/>
    <w:rsid w:val="27C27FF3"/>
    <w:rsid w:val="287405B8"/>
    <w:rsid w:val="28782698"/>
    <w:rsid w:val="28FE72A2"/>
    <w:rsid w:val="297C74F3"/>
    <w:rsid w:val="29812712"/>
    <w:rsid w:val="29A857CC"/>
    <w:rsid w:val="2A5C57A7"/>
    <w:rsid w:val="2A63489D"/>
    <w:rsid w:val="2AE46958"/>
    <w:rsid w:val="2B5D17D7"/>
    <w:rsid w:val="2B6F150A"/>
    <w:rsid w:val="2B9D6077"/>
    <w:rsid w:val="2BAC1E16"/>
    <w:rsid w:val="2BBF3C61"/>
    <w:rsid w:val="2BD13BE2"/>
    <w:rsid w:val="2BD71660"/>
    <w:rsid w:val="2BDB45ED"/>
    <w:rsid w:val="2C24302A"/>
    <w:rsid w:val="2C9420DE"/>
    <w:rsid w:val="2D01301A"/>
    <w:rsid w:val="2D3C366E"/>
    <w:rsid w:val="2D3F77EF"/>
    <w:rsid w:val="2D5B0AFA"/>
    <w:rsid w:val="2DAC4E42"/>
    <w:rsid w:val="2DD339F8"/>
    <w:rsid w:val="2E0D7770"/>
    <w:rsid w:val="2E317840"/>
    <w:rsid w:val="2E5545F5"/>
    <w:rsid w:val="2E750BE6"/>
    <w:rsid w:val="2E9E3CFC"/>
    <w:rsid w:val="2EA25C41"/>
    <w:rsid w:val="2EAC037F"/>
    <w:rsid w:val="2EDB595A"/>
    <w:rsid w:val="2F00295A"/>
    <w:rsid w:val="2F6B3D97"/>
    <w:rsid w:val="2F776AAD"/>
    <w:rsid w:val="2FB12A7C"/>
    <w:rsid w:val="2FC45342"/>
    <w:rsid w:val="2FF8434A"/>
    <w:rsid w:val="30524EC7"/>
    <w:rsid w:val="305A4537"/>
    <w:rsid w:val="309B70CA"/>
    <w:rsid w:val="30B437FF"/>
    <w:rsid w:val="30B8300C"/>
    <w:rsid w:val="319D7DC7"/>
    <w:rsid w:val="31AE2AF1"/>
    <w:rsid w:val="31C21BFF"/>
    <w:rsid w:val="31C71704"/>
    <w:rsid w:val="31C84E47"/>
    <w:rsid w:val="31D73965"/>
    <w:rsid w:val="324C4353"/>
    <w:rsid w:val="325736BF"/>
    <w:rsid w:val="32DC18E5"/>
    <w:rsid w:val="332350B4"/>
    <w:rsid w:val="33482D6D"/>
    <w:rsid w:val="33484B1B"/>
    <w:rsid w:val="335919AF"/>
    <w:rsid w:val="337954D9"/>
    <w:rsid w:val="3392502C"/>
    <w:rsid w:val="33B85DB8"/>
    <w:rsid w:val="33D37C07"/>
    <w:rsid w:val="34875F2C"/>
    <w:rsid w:val="349B1BC9"/>
    <w:rsid w:val="34A9783B"/>
    <w:rsid w:val="34CC7E69"/>
    <w:rsid w:val="354C01C6"/>
    <w:rsid w:val="355249BF"/>
    <w:rsid w:val="35B43FF4"/>
    <w:rsid w:val="35D92E9B"/>
    <w:rsid w:val="35E026BE"/>
    <w:rsid w:val="35ED30EC"/>
    <w:rsid w:val="361931A1"/>
    <w:rsid w:val="36347D06"/>
    <w:rsid w:val="36AC1F2F"/>
    <w:rsid w:val="36E0506A"/>
    <w:rsid w:val="37076A9B"/>
    <w:rsid w:val="376161AB"/>
    <w:rsid w:val="378400EB"/>
    <w:rsid w:val="37CD1BD1"/>
    <w:rsid w:val="37EF15A2"/>
    <w:rsid w:val="3813446F"/>
    <w:rsid w:val="38231ED4"/>
    <w:rsid w:val="386F708C"/>
    <w:rsid w:val="38E01351"/>
    <w:rsid w:val="39400042"/>
    <w:rsid w:val="397C58D9"/>
    <w:rsid w:val="39AD1B7B"/>
    <w:rsid w:val="39AF51DA"/>
    <w:rsid w:val="39CA1094"/>
    <w:rsid w:val="3A186E41"/>
    <w:rsid w:val="3A39131A"/>
    <w:rsid w:val="3A813CEF"/>
    <w:rsid w:val="3AC74DF5"/>
    <w:rsid w:val="3B091028"/>
    <w:rsid w:val="3B681B3E"/>
    <w:rsid w:val="3B817D3C"/>
    <w:rsid w:val="3BBA0580"/>
    <w:rsid w:val="3BCD02B3"/>
    <w:rsid w:val="3C1732DC"/>
    <w:rsid w:val="3C8D7A78"/>
    <w:rsid w:val="3CA35737"/>
    <w:rsid w:val="3CCF005B"/>
    <w:rsid w:val="3CDE204C"/>
    <w:rsid w:val="3CE336D9"/>
    <w:rsid w:val="3D2879EF"/>
    <w:rsid w:val="3D3261E0"/>
    <w:rsid w:val="3D4A3789"/>
    <w:rsid w:val="3D781614"/>
    <w:rsid w:val="3DD300FD"/>
    <w:rsid w:val="3E083B79"/>
    <w:rsid w:val="3E2057AD"/>
    <w:rsid w:val="3E3806A6"/>
    <w:rsid w:val="3E8D3D29"/>
    <w:rsid w:val="3F2C3542"/>
    <w:rsid w:val="3F580C5F"/>
    <w:rsid w:val="3F725537"/>
    <w:rsid w:val="3FCA2976"/>
    <w:rsid w:val="3FFE02B9"/>
    <w:rsid w:val="402A1EF9"/>
    <w:rsid w:val="403D6144"/>
    <w:rsid w:val="406037D5"/>
    <w:rsid w:val="406F2291"/>
    <w:rsid w:val="40755F8E"/>
    <w:rsid w:val="40BA1F9B"/>
    <w:rsid w:val="40E67721"/>
    <w:rsid w:val="41343E4D"/>
    <w:rsid w:val="415C553E"/>
    <w:rsid w:val="417072E0"/>
    <w:rsid w:val="417E2A00"/>
    <w:rsid w:val="41962EF5"/>
    <w:rsid w:val="41986C6D"/>
    <w:rsid w:val="4223778B"/>
    <w:rsid w:val="424D3EFC"/>
    <w:rsid w:val="4292190E"/>
    <w:rsid w:val="42BC1111"/>
    <w:rsid w:val="42DA5CF5"/>
    <w:rsid w:val="43053030"/>
    <w:rsid w:val="43A30020"/>
    <w:rsid w:val="43E33E6E"/>
    <w:rsid w:val="43F9412A"/>
    <w:rsid w:val="44111694"/>
    <w:rsid w:val="442742D8"/>
    <w:rsid w:val="44452AA7"/>
    <w:rsid w:val="445A5E6F"/>
    <w:rsid w:val="4486465C"/>
    <w:rsid w:val="44BF12FC"/>
    <w:rsid w:val="44EE1880"/>
    <w:rsid w:val="455235D7"/>
    <w:rsid w:val="45AF35D1"/>
    <w:rsid w:val="45BD6B94"/>
    <w:rsid w:val="46244F73"/>
    <w:rsid w:val="46876C75"/>
    <w:rsid w:val="46E71AD2"/>
    <w:rsid w:val="472D1259"/>
    <w:rsid w:val="475B4095"/>
    <w:rsid w:val="476B7AA9"/>
    <w:rsid w:val="47C22C96"/>
    <w:rsid w:val="47D906EF"/>
    <w:rsid w:val="47FA2C5C"/>
    <w:rsid w:val="481A14F5"/>
    <w:rsid w:val="48B514E3"/>
    <w:rsid w:val="48C4659A"/>
    <w:rsid w:val="48E24C72"/>
    <w:rsid w:val="49235F35"/>
    <w:rsid w:val="49465201"/>
    <w:rsid w:val="499E328F"/>
    <w:rsid w:val="49BB48A0"/>
    <w:rsid w:val="4A2827D7"/>
    <w:rsid w:val="4A6833FD"/>
    <w:rsid w:val="4ACB214B"/>
    <w:rsid w:val="4AD131F0"/>
    <w:rsid w:val="4B4340EE"/>
    <w:rsid w:val="4B856DC8"/>
    <w:rsid w:val="4BF52F0E"/>
    <w:rsid w:val="4C344705"/>
    <w:rsid w:val="4C79769B"/>
    <w:rsid w:val="4D35048C"/>
    <w:rsid w:val="4DAC0131"/>
    <w:rsid w:val="4DAC701F"/>
    <w:rsid w:val="4DCC2A51"/>
    <w:rsid w:val="4DD210DF"/>
    <w:rsid w:val="4E842839"/>
    <w:rsid w:val="4ED92673"/>
    <w:rsid w:val="4EE80CB2"/>
    <w:rsid w:val="4F2F32D4"/>
    <w:rsid w:val="4FAE44D6"/>
    <w:rsid w:val="506A3ECB"/>
    <w:rsid w:val="50834F8C"/>
    <w:rsid w:val="510559A1"/>
    <w:rsid w:val="511224B7"/>
    <w:rsid w:val="512E4EF8"/>
    <w:rsid w:val="515661FD"/>
    <w:rsid w:val="5180327A"/>
    <w:rsid w:val="51CA6732"/>
    <w:rsid w:val="51CC4711"/>
    <w:rsid w:val="528B46F7"/>
    <w:rsid w:val="52D56C03"/>
    <w:rsid w:val="52DB10B0"/>
    <w:rsid w:val="533F3AD1"/>
    <w:rsid w:val="537851F5"/>
    <w:rsid w:val="53C87FC7"/>
    <w:rsid w:val="53D10A84"/>
    <w:rsid w:val="543F4E42"/>
    <w:rsid w:val="544B4013"/>
    <w:rsid w:val="54D15D57"/>
    <w:rsid w:val="554051FA"/>
    <w:rsid w:val="55545149"/>
    <w:rsid w:val="557436BE"/>
    <w:rsid w:val="557D644E"/>
    <w:rsid w:val="55A44EB0"/>
    <w:rsid w:val="56115E66"/>
    <w:rsid w:val="565C1FAB"/>
    <w:rsid w:val="56811811"/>
    <w:rsid w:val="56985C18"/>
    <w:rsid w:val="56DE4CCA"/>
    <w:rsid w:val="57182E36"/>
    <w:rsid w:val="574A6182"/>
    <w:rsid w:val="575171A5"/>
    <w:rsid w:val="579F57D5"/>
    <w:rsid w:val="57AD28EF"/>
    <w:rsid w:val="58146A07"/>
    <w:rsid w:val="584274DB"/>
    <w:rsid w:val="588D1587"/>
    <w:rsid w:val="58B419E2"/>
    <w:rsid w:val="58D5687C"/>
    <w:rsid w:val="591B3CD4"/>
    <w:rsid w:val="598A2EE8"/>
    <w:rsid w:val="5998655E"/>
    <w:rsid w:val="59F14B94"/>
    <w:rsid w:val="5A13554E"/>
    <w:rsid w:val="5A1B39FB"/>
    <w:rsid w:val="5A3D61AC"/>
    <w:rsid w:val="5A4A08C9"/>
    <w:rsid w:val="5A5C0D28"/>
    <w:rsid w:val="5A6F6C52"/>
    <w:rsid w:val="5A8A250A"/>
    <w:rsid w:val="5A9C527C"/>
    <w:rsid w:val="5ABB1596"/>
    <w:rsid w:val="5AC10B8B"/>
    <w:rsid w:val="5AC3300C"/>
    <w:rsid w:val="5AD4218E"/>
    <w:rsid w:val="5B3E3650"/>
    <w:rsid w:val="5BB24978"/>
    <w:rsid w:val="5C384E7D"/>
    <w:rsid w:val="5C4B671B"/>
    <w:rsid w:val="5C531704"/>
    <w:rsid w:val="5C543973"/>
    <w:rsid w:val="5C744B6B"/>
    <w:rsid w:val="5CF50FC0"/>
    <w:rsid w:val="5D323FC2"/>
    <w:rsid w:val="5D6870ED"/>
    <w:rsid w:val="5D751CDC"/>
    <w:rsid w:val="5DEF1BC1"/>
    <w:rsid w:val="5EAA71FD"/>
    <w:rsid w:val="5EF01A3F"/>
    <w:rsid w:val="5EFC004B"/>
    <w:rsid w:val="5F685A79"/>
    <w:rsid w:val="5F920008"/>
    <w:rsid w:val="5FA93E45"/>
    <w:rsid w:val="5FB87D18"/>
    <w:rsid w:val="5FBD72D5"/>
    <w:rsid w:val="5FDE5D3B"/>
    <w:rsid w:val="5FED2422"/>
    <w:rsid w:val="602C3816"/>
    <w:rsid w:val="60374E58"/>
    <w:rsid w:val="60624D6D"/>
    <w:rsid w:val="60CB623B"/>
    <w:rsid w:val="61394928"/>
    <w:rsid w:val="615838CB"/>
    <w:rsid w:val="61A42246"/>
    <w:rsid w:val="61A93E79"/>
    <w:rsid w:val="61C50705"/>
    <w:rsid w:val="62B177C6"/>
    <w:rsid w:val="62B21059"/>
    <w:rsid w:val="62EF749B"/>
    <w:rsid w:val="632C2877"/>
    <w:rsid w:val="634A2083"/>
    <w:rsid w:val="635C40BE"/>
    <w:rsid w:val="640F6E0B"/>
    <w:rsid w:val="642333D8"/>
    <w:rsid w:val="64484E89"/>
    <w:rsid w:val="648C50EE"/>
    <w:rsid w:val="64A41543"/>
    <w:rsid w:val="64B27796"/>
    <w:rsid w:val="64D911C7"/>
    <w:rsid w:val="65D8322D"/>
    <w:rsid w:val="65F04A1A"/>
    <w:rsid w:val="65F337E0"/>
    <w:rsid w:val="660A2267"/>
    <w:rsid w:val="664F6E08"/>
    <w:rsid w:val="66560D21"/>
    <w:rsid w:val="66CD51E2"/>
    <w:rsid w:val="670F6548"/>
    <w:rsid w:val="671D498D"/>
    <w:rsid w:val="674476A9"/>
    <w:rsid w:val="67892A30"/>
    <w:rsid w:val="67E03135"/>
    <w:rsid w:val="67FF7197"/>
    <w:rsid w:val="68103152"/>
    <w:rsid w:val="684150B9"/>
    <w:rsid w:val="68806AB5"/>
    <w:rsid w:val="68B43ADD"/>
    <w:rsid w:val="68B61271"/>
    <w:rsid w:val="68CD4B9F"/>
    <w:rsid w:val="691609A7"/>
    <w:rsid w:val="6961292A"/>
    <w:rsid w:val="696F1173"/>
    <w:rsid w:val="69795F92"/>
    <w:rsid w:val="69BB314C"/>
    <w:rsid w:val="69E53FFF"/>
    <w:rsid w:val="6A17334B"/>
    <w:rsid w:val="6A525EC2"/>
    <w:rsid w:val="6A800E29"/>
    <w:rsid w:val="6AA70FDE"/>
    <w:rsid w:val="6B02606A"/>
    <w:rsid w:val="6B3A230F"/>
    <w:rsid w:val="6B8879A4"/>
    <w:rsid w:val="6BB169FA"/>
    <w:rsid w:val="6BB81B36"/>
    <w:rsid w:val="6BBF57A4"/>
    <w:rsid w:val="6C4E4249"/>
    <w:rsid w:val="6C785167"/>
    <w:rsid w:val="6CAD5718"/>
    <w:rsid w:val="6CFE5C6F"/>
    <w:rsid w:val="6D000B7C"/>
    <w:rsid w:val="6D45493C"/>
    <w:rsid w:val="6D651A75"/>
    <w:rsid w:val="6D68133A"/>
    <w:rsid w:val="6D8D0DA1"/>
    <w:rsid w:val="6D994C30"/>
    <w:rsid w:val="6DBA5902"/>
    <w:rsid w:val="6DDF01A7"/>
    <w:rsid w:val="6DFD2B64"/>
    <w:rsid w:val="6E267D84"/>
    <w:rsid w:val="6ED0363B"/>
    <w:rsid w:val="6EFB636B"/>
    <w:rsid w:val="6EFD5AB2"/>
    <w:rsid w:val="6F1057E5"/>
    <w:rsid w:val="6F2B0871"/>
    <w:rsid w:val="6F553D2E"/>
    <w:rsid w:val="6FF867EB"/>
    <w:rsid w:val="70234260"/>
    <w:rsid w:val="702C290A"/>
    <w:rsid w:val="705F3C0B"/>
    <w:rsid w:val="707A560C"/>
    <w:rsid w:val="70974410"/>
    <w:rsid w:val="709D579F"/>
    <w:rsid w:val="7117781D"/>
    <w:rsid w:val="71614A1E"/>
    <w:rsid w:val="71940098"/>
    <w:rsid w:val="72176FD9"/>
    <w:rsid w:val="72321F8D"/>
    <w:rsid w:val="724D0AFE"/>
    <w:rsid w:val="724F6052"/>
    <w:rsid w:val="726544FE"/>
    <w:rsid w:val="72813414"/>
    <w:rsid w:val="72902976"/>
    <w:rsid w:val="72D37256"/>
    <w:rsid w:val="72F404DA"/>
    <w:rsid w:val="73236BD5"/>
    <w:rsid w:val="737C0325"/>
    <w:rsid w:val="73DF3ED5"/>
    <w:rsid w:val="742647C9"/>
    <w:rsid w:val="743E723D"/>
    <w:rsid w:val="743F7355"/>
    <w:rsid w:val="75241FEA"/>
    <w:rsid w:val="7667291B"/>
    <w:rsid w:val="76D433C7"/>
    <w:rsid w:val="76E141CE"/>
    <w:rsid w:val="76EA5ED3"/>
    <w:rsid w:val="773949D4"/>
    <w:rsid w:val="776B5CAF"/>
    <w:rsid w:val="779C0DF9"/>
    <w:rsid w:val="77C27899"/>
    <w:rsid w:val="782A4EAD"/>
    <w:rsid w:val="78547801"/>
    <w:rsid w:val="785E24EE"/>
    <w:rsid w:val="78615304"/>
    <w:rsid w:val="786B5CCB"/>
    <w:rsid w:val="78874D6A"/>
    <w:rsid w:val="78992CEF"/>
    <w:rsid w:val="789E550F"/>
    <w:rsid w:val="78C31A9E"/>
    <w:rsid w:val="79231C19"/>
    <w:rsid w:val="794D571B"/>
    <w:rsid w:val="79867287"/>
    <w:rsid w:val="799D05BD"/>
    <w:rsid w:val="799E2BC1"/>
    <w:rsid w:val="79B412D4"/>
    <w:rsid w:val="79C8563A"/>
    <w:rsid w:val="79D24E6B"/>
    <w:rsid w:val="79E23C44"/>
    <w:rsid w:val="7AA20054"/>
    <w:rsid w:val="7AE27E2D"/>
    <w:rsid w:val="7AF406B1"/>
    <w:rsid w:val="7B892A44"/>
    <w:rsid w:val="7BF44E71"/>
    <w:rsid w:val="7C5E5DE2"/>
    <w:rsid w:val="7CC62D37"/>
    <w:rsid w:val="7D2534F5"/>
    <w:rsid w:val="7D2D51FD"/>
    <w:rsid w:val="7D943A85"/>
    <w:rsid w:val="7DBC3F1D"/>
    <w:rsid w:val="7DF00624"/>
    <w:rsid w:val="7E1F5A45"/>
    <w:rsid w:val="7E3A287F"/>
    <w:rsid w:val="7EAD3051"/>
    <w:rsid w:val="7EFC7B34"/>
    <w:rsid w:val="7F052E8D"/>
    <w:rsid w:val="7F637BB3"/>
    <w:rsid w:val="7F7057AD"/>
    <w:rsid w:val="7F7D3484"/>
    <w:rsid w:val="7F9D4E73"/>
    <w:rsid w:val="7FA16355"/>
    <w:rsid w:val="7FE023A2"/>
    <w:rsid w:val="7FFA407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4"/>
    <w:link w:val="3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4"/>
    <w:qFormat/>
    <w:uiPriority w:val="0"/>
    <w:pPr>
      <w:keepNext/>
      <w:keepLines/>
      <w:spacing w:before="260" w:after="260" w:line="416" w:lineRule="auto"/>
      <w:outlineLvl w:val="2"/>
    </w:pPr>
    <w:rPr>
      <w:b/>
      <w:bCs/>
      <w:sz w:val="32"/>
      <w:szCs w:val="32"/>
    </w:rPr>
  </w:style>
  <w:style w:type="paragraph" w:styleId="6">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34">
    <w:name w:val="Default Paragraph Font"/>
    <w:semiHidden/>
    <w:qFormat/>
    <w:uiPriority w:val="0"/>
  </w:style>
  <w:style w:type="table" w:default="1" w:styleId="32">
    <w:name w:val="Normal Table"/>
    <w:semiHidden/>
    <w:qFormat/>
    <w:uiPriority w:val="0"/>
    <w:tblPr>
      <w:tblCellMar>
        <w:top w:w="0" w:type="dxa"/>
        <w:left w:w="108" w:type="dxa"/>
        <w:bottom w:w="0" w:type="dxa"/>
        <w:right w:w="108" w:type="dxa"/>
      </w:tblCellMar>
    </w:tblPr>
  </w:style>
  <w:style w:type="paragraph" w:customStyle="1" w:styleId="4">
    <w:name w:val="Normal_0"/>
    <w:qFormat/>
    <w:uiPriority w:val="0"/>
    <w:pPr>
      <w:widowControl w:val="0"/>
      <w:jc w:val="both"/>
    </w:pPr>
    <w:rPr>
      <w:rFonts w:ascii="Calibri" w:hAnsi="Calibri" w:eastAsia="宋体" w:cs="Times New Roman"/>
      <w:kern w:val="2"/>
      <w:sz w:val="21"/>
      <w:szCs w:val="22"/>
      <w:lang w:val="en-US" w:eastAsia="zh-CN" w:bidi="ar-SA"/>
    </w:rPr>
  </w:style>
  <w:style w:type="paragraph" w:styleId="7">
    <w:name w:val="toc 7"/>
    <w:basedOn w:val="1"/>
    <w:next w:val="1"/>
    <w:unhideWhenUsed/>
    <w:qFormat/>
    <w:uiPriority w:val="39"/>
    <w:pPr>
      <w:ind w:left="2520" w:leftChars="1200"/>
    </w:pPr>
    <w:rPr>
      <w:rFonts w:ascii="Calibri" w:hAnsi="Calibri" w:eastAsia="宋体" w:cs="Times New Roman"/>
      <w:szCs w:val="22"/>
    </w:rPr>
  </w:style>
  <w:style w:type="paragraph" w:styleId="8">
    <w:name w:val="Normal Indent"/>
    <w:basedOn w:val="1"/>
    <w:link w:val="39"/>
    <w:qFormat/>
    <w:uiPriority w:val="0"/>
    <w:pPr>
      <w:ind w:firstLine="420" w:firstLineChars="200"/>
    </w:pPr>
  </w:style>
  <w:style w:type="paragraph" w:styleId="9">
    <w:name w:val="annotation text"/>
    <w:basedOn w:val="1"/>
    <w:link w:val="40"/>
    <w:qFormat/>
    <w:uiPriority w:val="0"/>
    <w:pPr>
      <w:jc w:val="left"/>
    </w:pPr>
    <w:rPr>
      <w:sz w:val="18"/>
      <w:szCs w:val="20"/>
    </w:rPr>
  </w:style>
  <w:style w:type="paragraph" w:styleId="10">
    <w:name w:val="Body Text"/>
    <w:basedOn w:val="1"/>
    <w:next w:val="11"/>
    <w:qFormat/>
    <w:uiPriority w:val="0"/>
    <w:pPr>
      <w:spacing w:after="120"/>
    </w:pPr>
  </w:style>
  <w:style w:type="paragraph" w:styleId="11">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12">
    <w:name w:val="Body Text Indent"/>
    <w:basedOn w:val="1"/>
    <w:link w:val="41"/>
    <w:qFormat/>
    <w:uiPriority w:val="0"/>
    <w:pPr>
      <w:ind w:firstLine="630"/>
    </w:pPr>
    <w:rPr>
      <w:sz w:val="32"/>
      <w:szCs w:val="20"/>
    </w:rPr>
  </w:style>
  <w:style w:type="paragraph" w:styleId="13">
    <w:name w:val="toc 5"/>
    <w:basedOn w:val="1"/>
    <w:next w:val="1"/>
    <w:unhideWhenUsed/>
    <w:qFormat/>
    <w:uiPriority w:val="39"/>
    <w:pPr>
      <w:ind w:left="1680" w:leftChars="800"/>
    </w:pPr>
    <w:rPr>
      <w:rFonts w:ascii="Calibri" w:hAnsi="Calibri" w:eastAsia="宋体" w:cs="Times New Roman"/>
      <w:szCs w:val="22"/>
    </w:rPr>
  </w:style>
  <w:style w:type="paragraph" w:styleId="14">
    <w:name w:val="toc 3"/>
    <w:basedOn w:val="1"/>
    <w:next w:val="1"/>
    <w:unhideWhenUsed/>
    <w:qFormat/>
    <w:uiPriority w:val="39"/>
    <w:pPr>
      <w:widowControl/>
      <w:spacing w:after="100" w:line="259" w:lineRule="auto"/>
      <w:ind w:left="440"/>
      <w:jc w:val="left"/>
    </w:pPr>
    <w:rPr>
      <w:rFonts w:ascii="Calibri" w:hAnsi="Calibri" w:eastAsia="宋体"/>
      <w:kern w:val="0"/>
      <w:sz w:val="22"/>
      <w:szCs w:val="22"/>
    </w:rPr>
  </w:style>
  <w:style w:type="paragraph" w:styleId="15">
    <w:name w:val="Plain Text"/>
    <w:basedOn w:val="1"/>
    <w:next w:val="1"/>
    <w:link w:val="42"/>
    <w:qFormat/>
    <w:uiPriority w:val="0"/>
    <w:pPr>
      <w:autoSpaceDE w:val="0"/>
      <w:autoSpaceDN w:val="0"/>
      <w:adjustRightInd w:val="0"/>
    </w:pPr>
    <w:rPr>
      <w:rFonts w:ascii="宋体" w:hAnsi="Tms Rmn"/>
      <w:kern w:val="0"/>
      <w:szCs w:val="20"/>
    </w:rPr>
  </w:style>
  <w:style w:type="paragraph" w:styleId="16">
    <w:name w:val="toc 8"/>
    <w:basedOn w:val="1"/>
    <w:next w:val="1"/>
    <w:unhideWhenUsed/>
    <w:qFormat/>
    <w:uiPriority w:val="39"/>
    <w:pPr>
      <w:ind w:left="2940" w:leftChars="1400"/>
    </w:pPr>
    <w:rPr>
      <w:rFonts w:ascii="Calibri" w:hAnsi="Calibri" w:eastAsia="宋体" w:cs="Times New Roman"/>
      <w:szCs w:val="22"/>
    </w:rPr>
  </w:style>
  <w:style w:type="paragraph" w:styleId="17">
    <w:name w:val="Body Text Indent 2"/>
    <w:basedOn w:val="1"/>
    <w:qFormat/>
    <w:uiPriority w:val="0"/>
    <w:pPr>
      <w:spacing w:after="120" w:line="480" w:lineRule="auto"/>
      <w:ind w:left="420" w:leftChars="200"/>
    </w:pPr>
  </w:style>
  <w:style w:type="paragraph" w:styleId="18">
    <w:name w:val="Balloon Text"/>
    <w:basedOn w:val="1"/>
    <w:semiHidden/>
    <w:qFormat/>
    <w:uiPriority w:val="0"/>
    <w:rPr>
      <w:sz w:val="18"/>
      <w:szCs w:val="18"/>
    </w:rPr>
  </w:style>
  <w:style w:type="paragraph" w:styleId="19">
    <w:name w:val="footer"/>
    <w:basedOn w:val="1"/>
    <w:link w:val="43"/>
    <w:qFormat/>
    <w:uiPriority w:val="99"/>
    <w:pPr>
      <w:tabs>
        <w:tab w:val="center" w:pos="4153"/>
        <w:tab w:val="right" w:pos="8306"/>
      </w:tabs>
      <w:snapToGrid w:val="0"/>
      <w:jc w:val="left"/>
    </w:pPr>
    <w:rPr>
      <w:sz w:val="18"/>
      <w:szCs w:val="20"/>
    </w:rPr>
  </w:style>
  <w:style w:type="paragraph" w:styleId="20">
    <w:name w:val="header"/>
    <w:basedOn w:val="1"/>
    <w:link w:val="44"/>
    <w:qFormat/>
    <w:uiPriority w:val="0"/>
    <w:pPr>
      <w:pBdr>
        <w:bottom w:val="single" w:color="auto" w:sz="6" w:space="1"/>
      </w:pBdr>
      <w:tabs>
        <w:tab w:val="center" w:pos="4153"/>
        <w:tab w:val="right" w:pos="8306"/>
      </w:tabs>
      <w:snapToGrid w:val="0"/>
      <w:jc w:val="center"/>
    </w:pPr>
    <w:rPr>
      <w:sz w:val="18"/>
      <w:szCs w:val="20"/>
    </w:rPr>
  </w:style>
  <w:style w:type="paragraph" w:styleId="21">
    <w:name w:val="toc 1"/>
    <w:basedOn w:val="1"/>
    <w:next w:val="1"/>
    <w:unhideWhenUsed/>
    <w:qFormat/>
    <w:uiPriority w:val="39"/>
    <w:pPr>
      <w:widowControl/>
      <w:spacing w:after="100" w:line="960" w:lineRule="auto"/>
      <w:jc w:val="left"/>
    </w:pPr>
    <w:rPr>
      <w:rFonts w:ascii="Calibri" w:hAnsi="Calibri"/>
      <w:kern w:val="0"/>
      <w:sz w:val="24"/>
      <w:szCs w:val="22"/>
    </w:rPr>
  </w:style>
  <w:style w:type="paragraph" w:styleId="22">
    <w:name w:val="toc 4"/>
    <w:basedOn w:val="1"/>
    <w:next w:val="1"/>
    <w:unhideWhenUsed/>
    <w:qFormat/>
    <w:uiPriority w:val="39"/>
    <w:pPr>
      <w:ind w:left="1260" w:leftChars="600"/>
    </w:pPr>
    <w:rPr>
      <w:rFonts w:ascii="Calibri" w:hAnsi="Calibri" w:eastAsia="宋体" w:cs="Times New Roman"/>
      <w:szCs w:val="22"/>
    </w:rPr>
  </w:style>
  <w:style w:type="paragraph" w:styleId="23">
    <w:name w:val="toc 6"/>
    <w:basedOn w:val="1"/>
    <w:next w:val="1"/>
    <w:unhideWhenUsed/>
    <w:qFormat/>
    <w:uiPriority w:val="39"/>
    <w:pPr>
      <w:ind w:left="2100" w:leftChars="1000"/>
    </w:pPr>
    <w:rPr>
      <w:rFonts w:ascii="Calibri" w:hAnsi="Calibri" w:eastAsia="宋体" w:cs="Times New Roman"/>
      <w:szCs w:val="22"/>
    </w:rPr>
  </w:style>
  <w:style w:type="paragraph" w:styleId="24">
    <w:name w:val="Body Text Indent 3"/>
    <w:basedOn w:val="1"/>
    <w:link w:val="45"/>
    <w:qFormat/>
    <w:uiPriority w:val="0"/>
    <w:pPr>
      <w:spacing w:after="120"/>
      <w:ind w:left="420" w:leftChars="200"/>
    </w:pPr>
    <w:rPr>
      <w:sz w:val="16"/>
      <w:szCs w:val="16"/>
    </w:rPr>
  </w:style>
  <w:style w:type="paragraph" w:styleId="25">
    <w:name w:val="toc 2"/>
    <w:basedOn w:val="1"/>
    <w:next w:val="1"/>
    <w:unhideWhenUsed/>
    <w:qFormat/>
    <w:uiPriority w:val="39"/>
    <w:pPr>
      <w:widowControl/>
      <w:spacing w:after="100" w:line="259" w:lineRule="auto"/>
      <w:ind w:left="220"/>
      <w:jc w:val="left"/>
    </w:pPr>
    <w:rPr>
      <w:rFonts w:ascii="Calibri" w:hAnsi="Calibri" w:eastAsia="宋体"/>
      <w:kern w:val="0"/>
      <w:sz w:val="22"/>
      <w:szCs w:val="22"/>
    </w:rPr>
  </w:style>
  <w:style w:type="paragraph" w:styleId="26">
    <w:name w:val="toc 9"/>
    <w:basedOn w:val="1"/>
    <w:next w:val="1"/>
    <w:unhideWhenUsed/>
    <w:qFormat/>
    <w:uiPriority w:val="39"/>
    <w:pPr>
      <w:ind w:left="3360" w:leftChars="1600"/>
    </w:pPr>
    <w:rPr>
      <w:rFonts w:ascii="Calibri" w:hAnsi="Calibri" w:eastAsia="宋体" w:cs="Times New Roman"/>
      <w:szCs w:val="22"/>
    </w:rPr>
  </w:style>
  <w:style w:type="paragraph" w:styleId="27">
    <w:name w:val="Normal (Web)"/>
    <w:basedOn w:val="1"/>
    <w:qFormat/>
    <w:uiPriority w:val="0"/>
    <w:pPr>
      <w:widowControl/>
      <w:spacing w:before="100" w:beforeAutospacing="1" w:after="100" w:afterAutospacing="1"/>
      <w:jc w:val="left"/>
    </w:pPr>
    <w:rPr>
      <w:rFonts w:ascii="宋体" w:hAnsi="宋体"/>
      <w:kern w:val="0"/>
      <w:sz w:val="18"/>
      <w:szCs w:val="18"/>
    </w:rPr>
  </w:style>
  <w:style w:type="paragraph" w:styleId="28">
    <w:name w:val="Title"/>
    <w:basedOn w:val="1"/>
    <w:next w:val="1"/>
    <w:qFormat/>
    <w:uiPriority w:val="99"/>
    <w:pPr>
      <w:spacing w:before="240" w:after="60"/>
      <w:jc w:val="center"/>
      <w:outlineLvl w:val="0"/>
    </w:pPr>
    <w:rPr>
      <w:rFonts w:ascii="Cambria" w:hAnsi="Cambria"/>
      <w:b/>
      <w:bCs/>
      <w:sz w:val="32"/>
      <w:szCs w:val="32"/>
    </w:rPr>
  </w:style>
  <w:style w:type="paragraph" w:styleId="29">
    <w:name w:val="annotation subject"/>
    <w:basedOn w:val="9"/>
    <w:next w:val="9"/>
    <w:link w:val="46"/>
    <w:qFormat/>
    <w:uiPriority w:val="0"/>
    <w:rPr>
      <w:b/>
      <w:bCs/>
      <w:sz w:val="21"/>
      <w:szCs w:val="24"/>
    </w:rPr>
  </w:style>
  <w:style w:type="paragraph" w:styleId="30">
    <w:name w:val="Body Text First Indent"/>
    <w:basedOn w:val="10"/>
    <w:qFormat/>
    <w:uiPriority w:val="0"/>
    <w:pPr>
      <w:ind w:firstLine="420" w:firstLineChars="100"/>
    </w:pPr>
  </w:style>
  <w:style w:type="paragraph" w:styleId="31">
    <w:name w:val="Body Text First Indent 2"/>
    <w:basedOn w:val="12"/>
    <w:qFormat/>
    <w:uiPriority w:val="0"/>
    <w:pPr>
      <w:ind w:firstLine="420" w:firstLineChars="200"/>
    </w:pPr>
    <w:rPr>
      <w:rFonts w:ascii="Calibri" w:hAnsi="Calibri"/>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page number"/>
    <w:basedOn w:val="34"/>
    <w:qFormat/>
    <w:uiPriority w:val="0"/>
  </w:style>
  <w:style w:type="character" w:styleId="36">
    <w:name w:val="Hyperlink"/>
    <w:basedOn w:val="34"/>
    <w:qFormat/>
    <w:uiPriority w:val="99"/>
    <w:rPr>
      <w:color w:val="0000FF"/>
      <w:u w:val="single"/>
    </w:rPr>
  </w:style>
  <w:style w:type="character" w:styleId="37">
    <w:name w:val="annotation reference"/>
    <w:qFormat/>
    <w:uiPriority w:val="0"/>
    <w:rPr>
      <w:sz w:val="21"/>
      <w:szCs w:val="21"/>
    </w:rPr>
  </w:style>
  <w:style w:type="character" w:customStyle="1" w:styleId="38">
    <w:name w:val="标题 2 Char"/>
    <w:link w:val="3"/>
    <w:qFormat/>
    <w:uiPriority w:val="0"/>
    <w:rPr>
      <w:rFonts w:ascii="Arial" w:hAnsi="Arial" w:eastAsia="黑体"/>
      <w:b/>
      <w:bCs/>
      <w:kern w:val="2"/>
      <w:sz w:val="32"/>
      <w:szCs w:val="32"/>
    </w:rPr>
  </w:style>
  <w:style w:type="character" w:customStyle="1" w:styleId="39">
    <w:name w:val="正文缩进 Char1"/>
    <w:link w:val="8"/>
    <w:qFormat/>
    <w:uiPriority w:val="0"/>
    <w:rPr>
      <w:rFonts w:eastAsia="宋体"/>
      <w:kern w:val="2"/>
      <w:sz w:val="21"/>
      <w:szCs w:val="24"/>
      <w:lang w:val="en-US" w:eastAsia="zh-CN" w:bidi="ar-SA"/>
    </w:rPr>
  </w:style>
  <w:style w:type="character" w:customStyle="1" w:styleId="40">
    <w:name w:val="批注文字 Char"/>
    <w:link w:val="9"/>
    <w:qFormat/>
    <w:uiPriority w:val="0"/>
    <w:rPr>
      <w:kern w:val="2"/>
      <w:sz w:val="18"/>
      <w:lang w:bidi="ar-SA"/>
    </w:rPr>
  </w:style>
  <w:style w:type="character" w:customStyle="1" w:styleId="41">
    <w:name w:val="正文文本缩进 Char"/>
    <w:link w:val="12"/>
    <w:qFormat/>
    <w:uiPriority w:val="0"/>
    <w:rPr>
      <w:rFonts w:eastAsia="宋体"/>
      <w:kern w:val="2"/>
      <w:sz w:val="32"/>
      <w:lang w:val="en-US" w:eastAsia="zh-CN" w:bidi="ar-SA"/>
    </w:rPr>
  </w:style>
  <w:style w:type="character" w:customStyle="1" w:styleId="42">
    <w:name w:val="纯文本 Char"/>
    <w:link w:val="15"/>
    <w:unhideWhenUsed/>
    <w:qFormat/>
    <w:uiPriority w:val="0"/>
    <w:rPr>
      <w:rFonts w:ascii="宋体" w:hAnsi="Tms Rmn" w:eastAsia="宋体"/>
      <w:sz w:val="21"/>
      <w:lang w:val="en-US" w:eastAsia="zh-CN" w:bidi="ar-SA"/>
    </w:rPr>
  </w:style>
  <w:style w:type="character" w:customStyle="1" w:styleId="43">
    <w:name w:val="页脚 Char"/>
    <w:link w:val="19"/>
    <w:qFormat/>
    <w:uiPriority w:val="99"/>
    <w:rPr>
      <w:rFonts w:eastAsia="宋体"/>
      <w:kern w:val="2"/>
      <w:sz w:val="18"/>
      <w:lang w:val="en-US" w:eastAsia="zh-CN" w:bidi="ar-SA"/>
    </w:rPr>
  </w:style>
  <w:style w:type="character" w:customStyle="1" w:styleId="44">
    <w:name w:val="页眉 Char"/>
    <w:link w:val="20"/>
    <w:qFormat/>
    <w:uiPriority w:val="0"/>
    <w:rPr>
      <w:rFonts w:eastAsia="宋体"/>
      <w:kern w:val="2"/>
      <w:sz w:val="18"/>
      <w:lang w:val="en-US" w:eastAsia="zh-CN" w:bidi="ar-SA"/>
    </w:rPr>
  </w:style>
  <w:style w:type="character" w:customStyle="1" w:styleId="45">
    <w:name w:val="正文文本缩进 3 Char"/>
    <w:link w:val="24"/>
    <w:qFormat/>
    <w:uiPriority w:val="0"/>
    <w:rPr>
      <w:kern w:val="2"/>
      <w:sz w:val="16"/>
      <w:szCs w:val="16"/>
    </w:rPr>
  </w:style>
  <w:style w:type="character" w:customStyle="1" w:styleId="46">
    <w:name w:val="批注主题 Char"/>
    <w:link w:val="29"/>
    <w:qFormat/>
    <w:uiPriority w:val="0"/>
    <w:rPr>
      <w:b/>
      <w:bCs/>
      <w:kern w:val="2"/>
      <w:sz w:val="21"/>
      <w:szCs w:val="24"/>
      <w:lang w:bidi="ar-SA"/>
    </w:rPr>
  </w:style>
  <w:style w:type="paragraph" w:customStyle="1" w:styleId="4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8">
    <w:name w:val="标题 5（有编号）（绿盟科技）"/>
    <w:basedOn w:val="1"/>
    <w:next w:val="49"/>
    <w:qFormat/>
    <w:uiPriority w:val="0"/>
    <w:pPr>
      <w:keepNext/>
      <w:keepLines/>
      <w:numPr>
        <w:ilvl w:val="4"/>
        <w:numId w:val="1"/>
      </w:numPr>
      <w:tabs>
        <w:tab w:val="left" w:pos="0"/>
      </w:tabs>
      <w:spacing w:before="280" w:after="156" w:line="377" w:lineRule="auto"/>
      <w:outlineLvl w:val="4"/>
    </w:pPr>
    <w:rPr>
      <w:rFonts w:ascii="Arial" w:hAnsi="Arial" w:eastAsia="黑体"/>
      <w:b/>
      <w:kern w:val="0"/>
      <w:szCs w:val="28"/>
    </w:rPr>
  </w:style>
  <w:style w:type="paragraph" w:customStyle="1" w:styleId="49">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50">
    <w:name w:val=" Char Char9"/>
    <w:qFormat/>
    <w:uiPriority w:val="0"/>
    <w:rPr>
      <w:kern w:val="2"/>
      <w:sz w:val="21"/>
    </w:rPr>
  </w:style>
  <w:style w:type="character" w:customStyle="1" w:styleId="51">
    <w:name w:val="GW-正文 Char"/>
    <w:link w:val="52"/>
    <w:qFormat/>
    <w:uiPriority w:val="0"/>
    <w:rPr>
      <w:rFonts w:eastAsia="仿宋_GB2312"/>
      <w:kern w:val="2"/>
      <w:sz w:val="24"/>
      <w:szCs w:val="24"/>
      <w:lang w:val="en-US" w:eastAsia="zh-CN" w:bidi="ar-SA"/>
    </w:rPr>
  </w:style>
  <w:style w:type="paragraph" w:customStyle="1" w:styleId="52">
    <w:name w:val="GW-正文"/>
    <w:basedOn w:val="1"/>
    <w:link w:val="51"/>
    <w:qFormat/>
    <w:uiPriority w:val="0"/>
    <w:pPr>
      <w:spacing w:line="360" w:lineRule="auto"/>
      <w:ind w:firstLine="200" w:firstLineChars="200"/>
    </w:pPr>
    <w:rPr>
      <w:rFonts w:eastAsia="仿宋_GB2312"/>
      <w:sz w:val="24"/>
    </w:rPr>
  </w:style>
  <w:style w:type="character" w:customStyle="1" w:styleId="53">
    <w:name w:val="批注文字 Char1"/>
    <w:qFormat/>
    <w:uiPriority w:val="0"/>
    <w:rPr>
      <w:kern w:val="2"/>
      <w:sz w:val="18"/>
      <w:lang w:bidi="ar-SA"/>
    </w:rPr>
  </w:style>
  <w:style w:type="character" w:customStyle="1" w:styleId="54">
    <w:name w:val="正文首行缩进两字符 Char Char"/>
    <w:link w:val="55"/>
    <w:qFormat/>
    <w:uiPriority w:val="0"/>
    <w:rPr>
      <w:kern w:val="2"/>
      <w:sz w:val="21"/>
      <w:szCs w:val="24"/>
    </w:rPr>
  </w:style>
  <w:style w:type="paragraph" w:customStyle="1" w:styleId="55">
    <w:name w:val="正文首行缩进两字符"/>
    <w:basedOn w:val="1"/>
    <w:link w:val="54"/>
    <w:qFormat/>
    <w:uiPriority w:val="0"/>
    <w:pPr>
      <w:spacing w:line="360" w:lineRule="auto"/>
      <w:ind w:firstLine="200" w:firstLineChars="200"/>
    </w:pPr>
  </w:style>
  <w:style w:type="character" w:customStyle="1" w:styleId="56">
    <w:name w:val="列出段落 Char"/>
    <w:link w:val="57"/>
    <w:qFormat/>
    <w:uiPriority w:val="0"/>
    <w:rPr>
      <w:rFonts w:eastAsia="宋体"/>
      <w:kern w:val="2"/>
      <w:sz w:val="21"/>
      <w:szCs w:val="24"/>
      <w:lang w:val="en-US" w:eastAsia="zh-CN" w:bidi="ar-SA"/>
    </w:rPr>
  </w:style>
  <w:style w:type="paragraph" w:styleId="57">
    <w:name w:val="List Paragraph"/>
    <w:basedOn w:val="1"/>
    <w:link w:val="56"/>
    <w:qFormat/>
    <w:uiPriority w:val="0"/>
    <w:pPr>
      <w:ind w:firstLine="420" w:firstLineChars="200"/>
    </w:pPr>
  </w:style>
  <w:style w:type="character" w:customStyle="1" w:styleId="58">
    <w:name w:val="纯文本 Char1"/>
    <w:qFormat/>
    <w:uiPriority w:val="0"/>
    <w:rPr>
      <w:rFonts w:hint="eastAsia" w:ascii="宋体" w:hAnsi="Tms Rmn" w:eastAsia="宋体"/>
      <w:sz w:val="21"/>
      <w:lang w:val="en-US" w:eastAsia="zh-CN"/>
    </w:rPr>
  </w:style>
  <w:style w:type="character" w:customStyle="1" w:styleId="59">
    <w:name w:val="（符号）邀请函中一、"/>
    <w:qFormat/>
    <w:uiPriority w:val="0"/>
    <w:rPr>
      <w:rFonts w:ascii="黑体" w:hAnsi="黑体" w:eastAsia="黑体"/>
      <w:b/>
      <w:bCs/>
      <w:sz w:val="24"/>
    </w:rPr>
  </w:style>
  <w:style w:type="paragraph" w:customStyle="1" w:styleId="60">
    <w:name w:val="03、“注：”正文(加粗，首行缩进2字符)"/>
    <w:basedOn w:val="61"/>
    <w:qFormat/>
    <w:uiPriority w:val="0"/>
    <w:pPr>
      <w:tabs>
        <w:tab w:val="left" w:pos="0"/>
      </w:tabs>
      <w:ind w:firstLine="480" w:firstLineChars="200"/>
    </w:pPr>
    <w:rPr>
      <w:b/>
    </w:rPr>
  </w:style>
  <w:style w:type="paragraph" w:customStyle="1" w:styleId="61">
    <w:name w:val="01、普通正文"/>
    <w:basedOn w:val="1"/>
    <w:qFormat/>
    <w:uiPriority w:val="0"/>
    <w:pPr>
      <w:tabs>
        <w:tab w:val="left" w:pos="0"/>
      </w:tabs>
      <w:wordWrap w:val="0"/>
      <w:topLinePunct/>
    </w:pPr>
    <w:rPr>
      <w:snapToGrid w:val="0"/>
    </w:rPr>
  </w:style>
  <w:style w:type="paragraph" w:customStyle="1" w:styleId="62">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3">
    <w:name w:val="msolistparagraph"/>
    <w:basedOn w:val="1"/>
    <w:qFormat/>
    <w:uiPriority w:val="0"/>
    <w:pPr>
      <w:ind w:firstLine="420" w:firstLineChars="200"/>
    </w:pPr>
    <w:rPr>
      <w:rFonts w:ascii="Calibri" w:hAnsi="Calibri" w:cs="Calibri"/>
      <w:szCs w:val="22"/>
    </w:rPr>
  </w:style>
  <w:style w:type="paragraph" w:customStyle="1" w:styleId="64">
    <w:name w:val="06、“1.”正文四级标题"/>
    <w:basedOn w:val="1"/>
    <w:qFormat/>
    <w:uiPriority w:val="0"/>
    <w:pPr>
      <w:numPr>
        <w:ilvl w:val="2"/>
        <w:numId w:val="2"/>
      </w:numPr>
      <w:tabs>
        <w:tab w:val="left" w:pos="0"/>
      </w:tabs>
      <w:wordWrap w:val="0"/>
      <w:topLinePunct/>
      <w:ind w:firstLine="803" w:firstLineChars="200"/>
    </w:pPr>
    <w:rPr>
      <w:snapToGrid w:val="0"/>
    </w:rPr>
  </w:style>
  <w:style w:type="paragraph" w:customStyle="1" w:styleId="65">
    <w:name w:val="样式 首行缩进:  2 字符"/>
    <w:basedOn w:val="1"/>
    <w:qFormat/>
    <w:uiPriority w:val="0"/>
    <w:pPr>
      <w:spacing w:line="400" w:lineRule="exact"/>
      <w:ind w:firstLine="200" w:firstLineChars="200"/>
    </w:pPr>
    <w:rPr>
      <w:rFonts w:cs="宋体"/>
      <w:sz w:val="24"/>
    </w:rPr>
  </w:style>
  <w:style w:type="paragraph" w:customStyle="1" w:styleId="66">
    <w:name w:val="表格"/>
    <w:basedOn w:val="1"/>
    <w:qFormat/>
    <w:uiPriority w:val="0"/>
    <w:pPr>
      <w:spacing w:line="400" w:lineRule="exact"/>
    </w:pPr>
    <w:rPr>
      <w:sz w:val="24"/>
    </w:rPr>
  </w:style>
  <w:style w:type="paragraph" w:customStyle="1" w:styleId="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8">
    <w:name w:val="_Style 67"/>
    <w:basedOn w:val="2"/>
    <w:next w:val="1"/>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69">
    <w:name w:val="Char Char Char Char Char Char Char Char Char Char Char Char Char Char1 Char Char Char Char"/>
    <w:basedOn w:val="1"/>
    <w:qFormat/>
    <w:uiPriority w:val="0"/>
    <w:rPr>
      <w:szCs w:val="21"/>
    </w:rPr>
  </w:style>
  <w:style w:type="paragraph" w:customStyle="1" w:styleId="70">
    <w:name w:val="CD正文"/>
    <w:basedOn w:val="1"/>
    <w:qFormat/>
    <w:uiPriority w:val="99"/>
    <w:pPr>
      <w:spacing w:line="360" w:lineRule="auto"/>
      <w:ind w:firstLine="493"/>
    </w:pPr>
    <w:rPr>
      <w:sz w:val="30"/>
      <w:szCs w:val="30"/>
    </w:rPr>
  </w:style>
  <w:style w:type="paragraph" w:customStyle="1" w:styleId="71">
    <w:name w:val="段落正文"/>
    <w:basedOn w:val="1"/>
    <w:qFormat/>
    <w:uiPriority w:val="0"/>
    <w:pPr>
      <w:spacing w:beforeLines="50" w:line="360" w:lineRule="auto"/>
      <w:ind w:firstLine="200" w:firstLineChars="200"/>
    </w:pPr>
    <w:rPr>
      <w:spacing w:val="2"/>
      <w:sz w:val="24"/>
      <w:szCs w:val="20"/>
    </w:rPr>
  </w:style>
  <w:style w:type="paragraph" w:styleId="72">
    <w:name w:val="Quote"/>
    <w:basedOn w:val="1"/>
    <w:next w:val="1"/>
    <w:qFormat/>
    <w:uiPriority w:val="29"/>
    <w:rPr>
      <w:i/>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www.levovo.com</Company>
  <Pages>51</Pages>
  <Words>9590</Words>
  <Characters>10090</Characters>
  <Lines>270</Lines>
  <Paragraphs>76</Paragraphs>
  <TotalTime>96</TotalTime>
  <ScaleCrop>false</ScaleCrop>
  <LinksUpToDate>false</LinksUpToDate>
  <CharactersWithSpaces>11054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2017-10-28T08:50:00Z</dcterms:created>
  <dc:creator>吴正新</dc:creator>
  <cp:lastModifiedBy>小雨儿</cp:lastModifiedBy>
  <cp:lastPrinted>2025-12-04T01:18:44Z</cp:lastPrinted>
  <dcterms:modified xsi:type="dcterms:W3CDTF">2025-12-04T01:55:31Z</dcterms:modified>
  <dc:title>招标编号：xx政采招[xxxx] xxx号</dc:title>
  <cp:revision>356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312EB39DAAA6404E8DF065A1BCFDDE59_13</vt:lpwstr>
  </property>
  <property fmtid="{D5CDD505-2E9C-101B-9397-08002B2CF9AE}" pid="4" name="KSOTemplateDocerSaveRecord">
    <vt:lpwstr>eyJoZGlkIjoiNThmYTEzYzIxNGU3NGQ3OGU1ODhmYzg0MDFhZThhOTAiLCJ1c2VySWQiOiIzNDk0NzE2MjYifQ==</vt:lpwstr>
  </property>
</Properties>
</file>