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附件2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广汉市广睿商贸有限公司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项目，结合该事项的特点及服务内容，经研究决定，我方下浮率报价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注：所有报价均用百分比表示，报价包括但不限于编制、评审、会务费、监测费、人工费、材料费、交通费、差旅费、税费、利润、保险等费用等为完成本项目约定服务的所有费用，以及后续服务费。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72A37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5C53"/>
    <w:rsid w:val="53D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2025-11-03T09:08:00Z</dcterms:created>
  <dc:creator>广金车检2</dc:creator>
  <cp:lastModifiedBy>广金车检2</cp:lastModifiedBy>
  <dcterms:modified xsi:type="dcterms:W3CDTF">2025-11-03T09:08:54Z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42D911BC915F4DCCA0854FEF8B0DFF24_11</vt:lpwstr>
  </property>
  <property fmtid="{D5CDD505-2E9C-101B-9397-08002B2CF9AE}" pid="4" name="KSOTemplateDocerSaveRecord">
    <vt:lpwstr>eyJoZGlkIjoiMmJiYTI0ZDA5YjVhYjAzYjgyMGNiZGU4YjI0MGNkZDUiLCJ1c2VySWQiOiIxMDUxMDY5NDEyIn0=</vt:lpwstr>
  </property>
</Properties>
</file>