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贵司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经营性资产（商铺等）租金价值评估服务，结合该事项的特点及内容，经仔细研究决定，我方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差额累进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616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面积区间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收费标准（元/㎡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6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50㎡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300㎡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500㎡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1000㎡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5000㎡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5000㎡以上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>注：以上报价已包含税费</w:t>
      </w:r>
      <w:r>
        <w:rPr>
          <w:rFonts w:hint="eastAsia" w:ascii="Times New Roman" w:hAnsi="Times New Roman" w:eastAsia="方正仿宋简体" w:cs="Times New Roman"/>
          <w:lang w:val="en-US" w:eastAsia="zh-CN"/>
        </w:rPr>
        <w:t>等费</w:t>
      </w:r>
      <w:r>
        <w:rPr>
          <w:rFonts w:hint="default" w:ascii="Times New Roman" w:hAnsi="Times New Roman" w:eastAsia="方正仿宋简体" w:cs="Times New Roman"/>
          <w:lang w:val="en-US" w:eastAsia="zh-CN"/>
        </w:rPr>
        <w:t>用。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C5477"/>
    <w:rsid w:val="1C1C5028"/>
    <w:rsid w:val="3CE971AF"/>
    <w:rsid w:val="494A3D65"/>
    <w:rsid w:val="51390E53"/>
    <w:rsid w:val="596A4592"/>
    <w:rsid w:val="7AB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2025-03-18T08:39:00Z</dcterms:created>
  <dc:creator>hp</dc:creator>
  <cp:lastModifiedBy>hp</cp:lastModifiedBy>
  <cp:lastPrinted>2025-09-05T09:57:45Z</cp:lastPrinted>
  <dcterms:modified xsi:type="dcterms:W3CDTF">2025-09-05T09:58:21Z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