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2CD18">
      <w:pPr>
        <w:ind w:firstLine="3313" w:firstLineChars="1100"/>
        <w:rPr>
          <w:rFonts w:hint="eastAsia" w:eastAsia="宋体"/>
          <w:b/>
          <w:sz w:val="30"/>
          <w:szCs w:val="30"/>
          <w:lang w:eastAsia="zh-CN"/>
        </w:rPr>
      </w:pPr>
      <w:r>
        <w:rPr>
          <w:rFonts w:hint="eastAsia"/>
          <w:b/>
          <w:sz w:val="30"/>
          <w:szCs w:val="30"/>
        </w:rPr>
        <w:t>资产评估业务约定书</w:t>
      </w:r>
    </w:p>
    <w:p w14:paraId="298E1084">
      <w:pPr>
        <w:spacing w:line="360" w:lineRule="auto"/>
        <w:ind w:firstLine="616" w:firstLineChars="257"/>
        <w:rPr>
          <w:rFonts w:hint="eastAsia"/>
          <w:sz w:val="24"/>
        </w:rPr>
      </w:pPr>
      <w:r>
        <w:rPr>
          <w:rFonts w:hint="eastAsia"/>
          <w:sz w:val="24"/>
        </w:rPr>
        <w:t>委托方名称（甲方）：广汉市城乡建设发展有限公司</w:t>
      </w:r>
    </w:p>
    <w:p w14:paraId="0C697D46">
      <w:pPr>
        <w:spacing w:line="360" w:lineRule="auto"/>
        <w:ind w:firstLine="616" w:firstLineChars="257"/>
        <w:rPr>
          <w:rFonts w:hint="eastAsia"/>
          <w:sz w:val="24"/>
        </w:rPr>
      </w:pPr>
      <w:r>
        <w:rPr>
          <w:rFonts w:hint="eastAsia"/>
          <w:sz w:val="24"/>
        </w:rPr>
        <w:t xml:space="preserve">评估机构（乙方）： </w:t>
      </w:r>
    </w:p>
    <w:p w14:paraId="4496C0BD">
      <w:pPr>
        <w:spacing w:line="360" w:lineRule="auto"/>
        <w:ind w:firstLine="619" w:firstLineChars="257"/>
        <w:rPr>
          <w:rFonts w:hint="eastAsia"/>
          <w:sz w:val="24"/>
        </w:rPr>
      </w:pPr>
      <w:r>
        <w:rPr>
          <w:rFonts w:hint="eastAsia"/>
          <w:b/>
          <w:sz w:val="24"/>
        </w:rPr>
        <w:t>一、评估目的</w:t>
      </w:r>
      <w:r>
        <w:rPr>
          <w:rFonts w:hint="eastAsia"/>
          <w:sz w:val="24"/>
        </w:rPr>
        <w:t>：因</w:t>
      </w:r>
      <w:r>
        <w:rPr>
          <w:rFonts w:hint="eastAsia"/>
          <w:sz w:val="24"/>
          <w:lang w:val="en-US" w:eastAsia="zh-CN"/>
        </w:rPr>
        <w:t>广汉市万福场镇建（构）筑物拆除工程项目</w:t>
      </w:r>
      <w:r>
        <w:rPr>
          <w:rFonts w:hint="eastAsia"/>
          <w:sz w:val="24"/>
        </w:rPr>
        <w:t>需要，对</w:t>
      </w:r>
      <w:r>
        <w:rPr>
          <w:rFonts w:hint="eastAsia"/>
          <w:sz w:val="24"/>
          <w:lang w:val="en-US" w:eastAsia="zh-CN"/>
        </w:rPr>
        <w:t>广汉市广大路段建（构）筑物拆除后相关废弃材料的</w:t>
      </w:r>
      <w:r>
        <w:rPr>
          <w:rFonts w:hint="eastAsia"/>
          <w:sz w:val="24"/>
        </w:rPr>
        <w:t>残余价值进行市场价值评估，本次评估为上述经济行为提供市场价值参考意见。</w:t>
      </w:r>
    </w:p>
    <w:p w14:paraId="67DB45F4">
      <w:pPr>
        <w:spacing w:line="360" w:lineRule="auto"/>
        <w:ind w:firstLine="619" w:firstLineChars="257"/>
        <w:rPr>
          <w:rFonts w:hint="eastAsia"/>
          <w:sz w:val="24"/>
        </w:rPr>
      </w:pPr>
      <w:r>
        <w:rPr>
          <w:rFonts w:hint="eastAsia"/>
          <w:b/>
          <w:sz w:val="24"/>
        </w:rPr>
        <w:t>二、评估对象和评估范围</w:t>
      </w:r>
      <w:r>
        <w:rPr>
          <w:rFonts w:hint="eastAsia"/>
          <w:sz w:val="24"/>
        </w:rPr>
        <w:t>：</w:t>
      </w:r>
    </w:p>
    <w:p w14:paraId="59985565">
      <w:pPr>
        <w:spacing w:line="360" w:lineRule="auto"/>
        <w:ind w:firstLine="616" w:firstLineChars="257"/>
        <w:rPr>
          <w:rFonts w:hint="default"/>
          <w:sz w:val="24"/>
          <w:lang w:val="en-US"/>
        </w:rPr>
      </w:pPr>
      <w:r>
        <w:rPr>
          <w:rFonts w:hint="eastAsia"/>
          <w:sz w:val="24"/>
        </w:rPr>
        <w:t>1、评估对象：</w:t>
      </w:r>
      <w:r>
        <w:rPr>
          <w:rFonts w:hint="eastAsia"/>
          <w:sz w:val="24"/>
          <w:lang w:val="en-US" w:eastAsia="zh-CN"/>
        </w:rPr>
        <w:t>广汉市万福场镇建（构）筑物拆除后相关废弃材料的价值</w:t>
      </w:r>
    </w:p>
    <w:p w14:paraId="2E419A74">
      <w:pPr>
        <w:spacing w:line="360" w:lineRule="auto"/>
        <w:ind w:firstLine="616" w:firstLineChars="257"/>
        <w:rPr>
          <w:rFonts w:hint="default" w:eastAsia="宋体"/>
          <w:sz w:val="24"/>
          <w:lang w:val="en-US" w:eastAsia="zh-CN"/>
        </w:rPr>
      </w:pPr>
      <w:r>
        <w:rPr>
          <w:rFonts w:hint="eastAsia"/>
          <w:sz w:val="24"/>
        </w:rPr>
        <w:t>2、评估范围：</w:t>
      </w:r>
      <w:r>
        <w:rPr>
          <w:rFonts w:hint="eastAsia"/>
          <w:sz w:val="24"/>
          <w:lang w:val="en-US" w:eastAsia="zh-CN"/>
        </w:rPr>
        <w:t>根据委托方要求开展评估服务</w:t>
      </w:r>
    </w:p>
    <w:p w14:paraId="475BCD02">
      <w:pPr>
        <w:spacing w:line="360" w:lineRule="auto"/>
        <w:ind w:firstLine="619" w:firstLineChars="257"/>
        <w:rPr>
          <w:rFonts w:hint="eastAsia"/>
          <w:sz w:val="24"/>
        </w:rPr>
      </w:pPr>
      <w:r>
        <w:rPr>
          <w:rFonts w:hint="eastAsia"/>
          <w:b/>
          <w:sz w:val="24"/>
        </w:rPr>
        <w:t>三、评估基准日</w:t>
      </w:r>
      <w:r>
        <w:rPr>
          <w:rFonts w:hint="eastAsia"/>
          <w:sz w:val="24"/>
        </w:rPr>
        <w:t>： 20</w:t>
      </w:r>
      <w:r>
        <w:rPr>
          <w:sz w:val="24"/>
        </w:rPr>
        <w:t>2</w:t>
      </w:r>
      <w:r>
        <w:rPr>
          <w:rFonts w:hint="eastAsia"/>
          <w:sz w:val="24"/>
          <w:lang w:val="en-US" w:eastAsia="zh-CN"/>
        </w:rPr>
        <w:t>5</w:t>
      </w:r>
      <w:r>
        <w:rPr>
          <w:rFonts w:hint="eastAsia"/>
          <w:sz w:val="24"/>
        </w:rPr>
        <w:t>年</w:t>
      </w:r>
      <w:r>
        <w:rPr>
          <w:rFonts w:hint="eastAsia"/>
          <w:sz w:val="24"/>
          <w:lang w:val="en-US" w:eastAsia="zh-CN"/>
        </w:rPr>
        <w:t>x</w:t>
      </w:r>
      <w:r>
        <w:rPr>
          <w:rFonts w:hint="eastAsia"/>
          <w:sz w:val="24"/>
        </w:rPr>
        <w:t>月</w:t>
      </w:r>
      <w:r>
        <w:rPr>
          <w:rFonts w:hint="eastAsia"/>
          <w:sz w:val="24"/>
          <w:lang w:val="en-US" w:eastAsia="zh-CN"/>
        </w:rPr>
        <w:t>x</w:t>
      </w:r>
      <w:r>
        <w:rPr>
          <w:rFonts w:hint="eastAsia"/>
          <w:sz w:val="24"/>
        </w:rPr>
        <w:t>日</w:t>
      </w:r>
    </w:p>
    <w:p w14:paraId="6BC71E9A">
      <w:pPr>
        <w:spacing w:line="360" w:lineRule="auto"/>
        <w:ind w:firstLine="619" w:firstLineChars="257"/>
        <w:rPr>
          <w:rFonts w:hint="eastAsia"/>
          <w:sz w:val="24"/>
        </w:rPr>
      </w:pPr>
      <w:r>
        <w:rPr>
          <w:rFonts w:hint="eastAsia"/>
          <w:b/>
          <w:sz w:val="24"/>
        </w:rPr>
        <w:t>四、评估报告使用者</w:t>
      </w:r>
      <w:r>
        <w:rPr>
          <w:rFonts w:hint="eastAsia"/>
          <w:sz w:val="24"/>
        </w:rPr>
        <w:t xml:space="preserve">：委托方及使用本报告的相关部门。 </w:t>
      </w:r>
    </w:p>
    <w:p w14:paraId="75B329EE">
      <w:pPr>
        <w:spacing w:line="360" w:lineRule="auto"/>
        <w:ind w:firstLine="619" w:firstLineChars="257"/>
        <w:rPr>
          <w:rFonts w:hint="eastAsia"/>
          <w:sz w:val="24"/>
        </w:rPr>
      </w:pPr>
      <w:r>
        <w:rPr>
          <w:rFonts w:hint="eastAsia"/>
          <w:b/>
          <w:sz w:val="24"/>
        </w:rPr>
        <w:t>五、评估报告提交期限和方式</w:t>
      </w:r>
      <w:r>
        <w:rPr>
          <w:rFonts w:hint="eastAsia"/>
          <w:sz w:val="24"/>
        </w:rPr>
        <w:t>：</w:t>
      </w:r>
    </w:p>
    <w:p w14:paraId="3243B560">
      <w:pPr>
        <w:spacing w:line="360" w:lineRule="auto"/>
        <w:ind w:firstLine="616" w:firstLineChars="257"/>
        <w:rPr>
          <w:rFonts w:hint="eastAsia"/>
          <w:sz w:val="24"/>
        </w:rPr>
      </w:pPr>
      <w:r>
        <w:rPr>
          <w:rFonts w:hint="eastAsia"/>
          <w:b w:val="0"/>
          <w:bCs w:val="0"/>
          <w:sz w:val="24"/>
        </w:rPr>
        <w:t>1、评估报告提交期限</w:t>
      </w:r>
      <w:r>
        <w:rPr>
          <w:rFonts w:hint="eastAsia"/>
          <w:b w:val="0"/>
          <w:bCs w:val="0"/>
          <w:sz w:val="24"/>
          <w:lang w:eastAsia="zh-CN"/>
        </w:rPr>
        <w:t>：</w:t>
      </w:r>
      <w:r>
        <w:rPr>
          <w:rFonts w:hint="eastAsia"/>
          <w:b w:val="0"/>
          <w:bCs w:val="0"/>
          <w:sz w:val="24"/>
          <w:lang w:val="en-US" w:eastAsia="zh-CN"/>
        </w:rPr>
        <w:t>合同签订时间后7个日历天。</w:t>
      </w:r>
    </w:p>
    <w:p w14:paraId="353007CE">
      <w:pPr>
        <w:spacing w:line="360" w:lineRule="auto"/>
        <w:ind w:firstLine="616" w:firstLineChars="257"/>
        <w:rPr>
          <w:rFonts w:hint="eastAsia"/>
          <w:sz w:val="24"/>
        </w:rPr>
      </w:pPr>
      <w:r>
        <w:rPr>
          <w:rFonts w:hint="eastAsia"/>
          <w:sz w:val="24"/>
        </w:rPr>
        <w:t>2、评估报告提交方式：当面提交</w:t>
      </w:r>
      <w:r>
        <w:rPr>
          <w:rFonts w:hint="eastAsia"/>
          <w:sz w:val="24"/>
          <w:lang w:eastAsia="zh-CN"/>
        </w:rPr>
        <w:t>。</w:t>
      </w:r>
      <w:r>
        <w:rPr>
          <w:rFonts w:hint="eastAsia"/>
          <w:sz w:val="24"/>
        </w:rPr>
        <w:t xml:space="preserve"> </w:t>
      </w:r>
      <w:bookmarkStart w:id="0" w:name="_GoBack"/>
      <w:bookmarkEnd w:id="0"/>
    </w:p>
    <w:p w14:paraId="6F1D21F9">
      <w:pPr>
        <w:spacing w:line="360" w:lineRule="auto"/>
        <w:ind w:firstLine="619" w:firstLineChars="257"/>
        <w:rPr>
          <w:rFonts w:hint="eastAsia"/>
          <w:sz w:val="24"/>
        </w:rPr>
      </w:pPr>
      <w:r>
        <w:rPr>
          <w:rFonts w:hint="eastAsia"/>
          <w:b/>
          <w:sz w:val="24"/>
        </w:rPr>
        <w:t>六、评估收费</w:t>
      </w:r>
      <w:r>
        <w:rPr>
          <w:rFonts w:hint="eastAsia"/>
          <w:sz w:val="24"/>
        </w:rPr>
        <w:t>：</w:t>
      </w:r>
    </w:p>
    <w:p w14:paraId="51FAE5A0">
      <w:pPr>
        <w:spacing w:line="360" w:lineRule="auto"/>
        <w:ind w:firstLine="616" w:firstLineChars="257"/>
        <w:rPr>
          <w:rFonts w:hint="eastAsia"/>
          <w:sz w:val="24"/>
        </w:rPr>
      </w:pPr>
      <w:r>
        <w:rPr>
          <w:rFonts w:hint="eastAsia"/>
          <w:sz w:val="24"/>
        </w:rPr>
        <w:t>1、本项目的评估业务</w:t>
      </w:r>
      <w:r>
        <w:rPr>
          <w:rFonts w:hint="eastAsia"/>
          <w:sz w:val="24"/>
          <w:lang w:val="en-US" w:eastAsia="zh-CN"/>
        </w:rPr>
        <w:t>服务费用为xx元（大写：人民币xx），其中不含税价为xx元，税金xx元，税率xx</w:t>
      </w:r>
      <w:r>
        <w:rPr>
          <w:rFonts w:hint="eastAsia"/>
          <w:sz w:val="24"/>
        </w:rPr>
        <w:t>。</w:t>
      </w:r>
    </w:p>
    <w:p w14:paraId="48BB4913">
      <w:pPr>
        <w:spacing w:line="360" w:lineRule="auto"/>
        <w:ind w:firstLine="616" w:firstLineChars="257"/>
        <w:rPr>
          <w:rFonts w:hint="eastAsia"/>
          <w:sz w:val="24"/>
        </w:rPr>
      </w:pPr>
      <w:r>
        <w:rPr>
          <w:rFonts w:hint="eastAsia"/>
          <w:sz w:val="24"/>
        </w:rPr>
        <w:t>2、支付方式：评估机构</w:t>
      </w:r>
      <w:r>
        <w:rPr>
          <w:rFonts w:hint="eastAsia"/>
          <w:sz w:val="24"/>
          <w:lang w:val="en-US" w:eastAsia="zh-CN"/>
        </w:rPr>
        <w:t>完成本项目所有评估工作，并</w:t>
      </w:r>
      <w:r>
        <w:rPr>
          <w:rFonts w:hint="eastAsia"/>
          <w:sz w:val="24"/>
        </w:rPr>
        <w:t>提供</w:t>
      </w:r>
      <w:r>
        <w:rPr>
          <w:rFonts w:hint="eastAsia"/>
          <w:sz w:val="24"/>
          <w:lang w:val="en-US" w:eastAsia="zh-CN"/>
        </w:rPr>
        <w:t>所有</w:t>
      </w:r>
      <w:r>
        <w:rPr>
          <w:rFonts w:hint="eastAsia"/>
          <w:sz w:val="24"/>
        </w:rPr>
        <w:t>评估报告</w:t>
      </w:r>
      <w:r>
        <w:rPr>
          <w:rFonts w:hint="eastAsia"/>
          <w:sz w:val="24"/>
          <w:lang w:val="en-US" w:eastAsia="zh-CN"/>
        </w:rPr>
        <w:t>及</w:t>
      </w:r>
      <w:r>
        <w:rPr>
          <w:rFonts w:hint="eastAsia"/>
          <w:sz w:val="24"/>
        </w:rPr>
        <w:t>符合法律规定的增值税</w:t>
      </w:r>
      <w:r>
        <w:rPr>
          <w:rFonts w:hint="eastAsia"/>
          <w:sz w:val="24"/>
          <w:lang w:val="en-US" w:eastAsia="zh-CN"/>
        </w:rPr>
        <w:t>专用</w:t>
      </w:r>
      <w:r>
        <w:rPr>
          <w:rFonts w:hint="eastAsia"/>
          <w:sz w:val="24"/>
        </w:rPr>
        <w:t>发票</w:t>
      </w:r>
      <w:r>
        <w:rPr>
          <w:rFonts w:hint="eastAsia"/>
          <w:sz w:val="24"/>
          <w:lang w:val="en-US" w:eastAsia="zh-CN"/>
        </w:rPr>
        <w:t>后，甲方通过银行转账方式一次性向乙方支付所有评估服务费</w:t>
      </w:r>
      <w:r>
        <w:rPr>
          <w:rFonts w:hint="eastAsia"/>
          <w:sz w:val="24"/>
        </w:rPr>
        <w:t>。</w:t>
      </w:r>
    </w:p>
    <w:p w14:paraId="21FAE12C">
      <w:pPr>
        <w:tabs>
          <w:tab w:val="left" w:pos="900"/>
        </w:tabs>
        <w:spacing w:line="360" w:lineRule="auto"/>
        <w:ind w:firstLine="616" w:firstLineChars="257"/>
        <w:rPr>
          <w:rFonts w:hint="eastAsia"/>
          <w:sz w:val="24"/>
        </w:rPr>
      </w:pPr>
      <w:r>
        <w:rPr>
          <w:rFonts w:hint="eastAsia"/>
          <w:sz w:val="24"/>
        </w:rPr>
        <w:t>3、评估机构在评估过程中，需出差外省市或</w:t>
      </w:r>
      <w:r>
        <w:rPr>
          <w:rFonts w:hint="eastAsia"/>
          <w:sz w:val="24"/>
          <w:u w:val="single"/>
        </w:rPr>
        <w:t xml:space="preserve">    /    </w:t>
      </w:r>
      <w:r>
        <w:rPr>
          <w:rFonts w:hint="eastAsia"/>
          <w:sz w:val="24"/>
        </w:rPr>
        <w:t xml:space="preserve"> 郊区（县）的差旅费、住宿费以及其他费用均由委托方承担（不计入评估业务费）。</w:t>
      </w:r>
    </w:p>
    <w:p w14:paraId="3CAAC2C8">
      <w:pPr>
        <w:spacing w:line="360" w:lineRule="auto"/>
        <w:ind w:firstLine="619" w:firstLineChars="257"/>
        <w:rPr>
          <w:rFonts w:hint="eastAsia" w:ascii="宋体" w:hAnsi="宋体" w:cs="宋体"/>
          <w:sz w:val="24"/>
        </w:rPr>
      </w:pPr>
      <w:r>
        <w:rPr>
          <w:rFonts w:hint="eastAsia" w:ascii="宋体" w:hAnsi="宋体" w:cs="宋体"/>
          <w:b/>
          <w:sz w:val="24"/>
        </w:rPr>
        <w:t>七、评估机构和委托方的其他权利和义务</w:t>
      </w:r>
      <w:r>
        <w:rPr>
          <w:rFonts w:hint="eastAsia" w:ascii="宋体" w:hAnsi="宋体" w:cs="宋体"/>
          <w:sz w:val="24"/>
        </w:rPr>
        <w:t>：</w:t>
      </w:r>
    </w:p>
    <w:p w14:paraId="42173AEE">
      <w:pPr>
        <w:spacing w:line="360" w:lineRule="auto"/>
        <w:ind w:firstLine="616" w:firstLineChars="257"/>
        <w:rPr>
          <w:rFonts w:hint="eastAsia"/>
          <w:sz w:val="24"/>
        </w:rPr>
      </w:pPr>
      <w:r>
        <w:rPr>
          <w:rFonts w:hint="eastAsia"/>
          <w:sz w:val="24"/>
        </w:rPr>
        <w:t>1、遵守相关法律、法规和资产评估准则，对评估对象在评估基准日特定目的下的价值进行分析、估算并发表专业意见，是资产评估师的责任；提供必要的资料并保证所提供资料的真实性、合法性、完整性，恰当使用评估报告是委托方和相关当事方的责任。</w:t>
      </w:r>
    </w:p>
    <w:p w14:paraId="4FFB255D">
      <w:pPr>
        <w:spacing w:line="360" w:lineRule="auto"/>
        <w:ind w:firstLine="616" w:firstLineChars="257"/>
        <w:rPr>
          <w:rFonts w:hint="eastAsia"/>
          <w:sz w:val="24"/>
        </w:rPr>
      </w:pPr>
      <w:r>
        <w:rPr>
          <w:rFonts w:hint="eastAsia"/>
          <w:sz w:val="24"/>
        </w:rPr>
        <w:t>2、评估机构在评估过程中如发现委托方在会计核算、财务管理、财产物资管理上有重大缺陷的，应及时将情况通报给委托方，并有权要求委托方对此作出书面解释或进行相应的处理。</w:t>
      </w:r>
    </w:p>
    <w:p w14:paraId="41AB543E">
      <w:pPr>
        <w:tabs>
          <w:tab w:val="left" w:pos="180"/>
        </w:tabs>
        <w:spacing w:line="360" w:lineRule="auto"/>
        <w:ind w:firstLine="616" w:firstLineChars="257"/>
        <w:rPr>
          <w:rFonts w:hint="eastAsia"/>
          <w:sz w:val="24"/>
        </w:rPr>
      </w:pPr>
      <w:r>
        <w:rPr>
          <w:rFonts w:hint="eastAsia"/>
          <w:sz w:val="24"/>
        </w:rPr>
        <w:t>3、评估机构对委托方提供的评估资料负有保密责任。未经委托方书面许可，资产评估师和评估机构不得将评估报告的内容向第三方提供或者公开，法律、法规另有规定的除外。</w:t>
      </w:r>
    </w:p>
    <w:p w14:paraId="46D6CB6A">
      <w:pPr>
        <w:tabs>
          <w:tab w:val="left" w:pos="180"/>
        </w:tabs>
        <w:spacing w:line="360" w:lineRule="auto"/>
        <w:ind w:firstLine="616" w:firstLineChars="257"/>
        <w:rPr>
          <w:rFonts w:hint="eastAsia"/>
          <w:sz w:val="24"/>
        </w:rPr>
      </w:pPr>
      <w:r>
        <w:rPr>
          <w:rFonts w:hint="eastAsia"/>
          <w:sz w:val="24"/>
        </w:rPr>
        <w:t>4、未征得评估机构同意，评估报告的内容不得被摘抄、引用或者披露于公开媒体，法律、法规规定以及相关当事方另有约定的除外。</w:t>
      </w:r>
    </w:p>
    <w:p w14:paraId="622313F6">
      <w:pPr>
        <w:tabs>
          <w:tab w:val="left" w:pos="900"/>
        </w:tabs>
        <w:spacing w:line="360" w:lineRule="auto"/>
        <w:ind w:firstLine="616" w:firstLineChars="257"/>
        <w:rPr>
          <w:rFonts w:hint="eastAsia"/>
          <w:sz w:val="24"/>
        </w:rPr>
      </w:pPr>
      <w:r>
        <w:rPr>
          <w:rFonts w:hint="eastAsia"/>
          <w:sz w:val="24"/>
        </w:rPr>
        <w:t>5、当评估程序所受限制对与评估目的相对应的评估结论构成重大影响时，评估机构可以中止履行业务约定书；相关限制无法排除时，评估机构可以解除业务约定书。评估机构不承担任何责任，且评估业务费用照常收取。</w:t>
      </w:r>
    </w:p>
    <w:p w14:paraId="07535D38">
      <w:pPr>
        <w:tabs>
          <w:tab w:val="left" w:pos="900"/>
        </w:tabs>
        <w:spacing w:line="360" w:lineRule="auto"/>
        <w:ind w:firstLine="616" w:firstLineChars="257"/>
        <w:rPr>
          <w:rFonts w:hint="eastAsia"/>
          <w:sz w:val="24"/>
        </w:rPr>
      </w:pPr>
      <w:r>
        <w:rPr>
          <w:rFonts w:hint="eastAsia"/>
          <w:sz w:val="24"/>
        </w:rPr>
        <w:t>6、评估报告仅供委托方和业务约定书约定的其他评估报告使用者使用，法律、法规另有规定的除外。</w:t>
      </w:r>
    </w:p>
    <w:p w14:paraId="183C339D">
      <w:pPr>
        <w:tabs>
          <w:tab w:val="left" w:pos="900"/>
        </w:tabs>
        <w:spacing w:line="360" w:lineRule="auto"/>
        <w:ind w:firstLine="616" w:firstLineChars="257"/>
        <w:rPr>
          <w:rFonts w:hint="eastAsia"/>
          <w:sz w:val="24"/>
        </w:rPr>
      </w:pPr>
      <w:r>
        <w:rPr>
          <w:rFonts w:hint="eastAsia"/>
          <w:sz w:val="24"/>
        </w:rPr>
        <w:t>7、资产评估师和评估机构对委托方和其他评估报告使用者不当使用评估报告所造成的后果不承担责任。</w:t>
      </w:r>
    </w:p>
    <w:p w14:paraId="3D9EAFE7">
      <w:pPr>
        <w:tabs>
          <w:tab w:val="left" w:pos="900"/>
        </w:tabs>
        <w:spacing w:line="360" w:lineRule="auto"/>
        <w:ind w:firstLine="616" w:firstLineChars="257"/>
        <w:rPr>
          <w:rFonts w:hint="eastAsia" w:ascii="宋体" w:hAnsi="宋体"/>
          <w:sz w:val="24"/>
        </w:rPr>
      </w:pPr>
      <w:r>
        <w:rPr>
          <w:rFonts w:hint="eastAsia" w:ascii="宋体" w:hAnsi="宋体"/>
          <w:sz w:val="24"/>
        </w:rPr>
        <w:t>8、委托方应当为资产评估师执行评估业务提供必要的工作条件和协助；委托方应当根据评估业务需要，负责资产评估师与相关当事方之间的协调；委托方或者产权持有者应当对其提供的评估明细表及相关证明材料以签字、盖章或者其他方式进行确认。</w:t>
      </w:r>
    </w:p>
    <w:p w14:paraId="449FAF66">
      <w:pPr>
        <w:tabs>
          <w:tab w:val="left" w:pos="900"/>
        </w:tabs>
        <w:spacing w:line="360" w:lineRule="auto"/>
        <w:ind w:firstLine="619" w:firstLineChars="257"/>
        <w:rPr>
          <w:rFonts w:hint="eastAsia"/>
          <w:b/>
          <w:sz w:val="24"/>
        </w:rPr>
      </w:pPr>
      <w:r>
        <w:rPr>
          <w:rFonts w:hint="eastAsia"/>
          <w:b/>
          <w:sz w:val="24"/>
        </w:rPr>
        <w:t>八、业务约定书的中止和解除</w:t>
      </w:r>
    </w:p>
    <w:p w14:paraId="62F3A840">
      <w:pPr>
        <w:tabs>
          <w:tab w:val="left" w:pos="900"/>
        </w:tabs>
        <w:spacing w:line="360" w:lineRule="auto"/>
        <w:ind w:firstLine="616" w:firstLineChars="257"/>
        <w:rPr>
          <w:rFonts w:hint="eastAsia" w:ascii="宋体" w:hAnsi="宋体"/>
          <w:sz w:val="24"/>
        </w:rPr>
      </w:pPr>
      <w:r>
        <w:rPr>
          <w:rFonts w:hint="eastAsia" w:ascii="宋体" w:hAnsi="宋体"/>
          <w:sz w:val="24"/>
        </w:rPr>
        <w:t>1、当评估程序所受限制对与评估目的相对应的评估结论构成重大影响时，评估机构可以中止履行业务约定书；相关限制无法排除时，评估机构可以解除业务约定书；</w:t>
      </w:r>
    </w:p>
    <w:p w14:paraId="48347990">
      <w:pPr>
        <w:tabs>
          <w:tab w:val="left" w:pos="900"/>
        </w:tabs>
        <w:spacing w:line="360" w:lineRule="auto"/>
        <w:ind w:firstLine="616" w:firstLineChars="257"/>
        <w:rPr>
          <w:rFonts w:hint="eastAsia" w:ascii="宋体" w:hAnsi="宋体"/>
          <w:sz w:val="24"/>
        </w:rPr>
      </w:pPr>
      <w:r>
        <w:rPr>
          <w:rFonts w:hint="eastAsia" w:ascii="宋体" w:hAnsi="宋体"/>
          <w:sz w:val="24"/>
        </w:rPr>
        <w:t>2、约定书解除后，已预收的评估费不予退还，未收评估费的按原约定总价/ %收取评估费。</w:t>
      </w:r>
    </w:p>
    <w:p w14:paraId="04EB1B38">
      <w:pPr>
        <w:tabs>
          <w:tab w:val="left" w:pos="900"/>
        </w:tabs>
        <w:spacing w:line="360" w:lineRule="auto"/>
        <w:ind w:firstLine="619" w:firstLineChars="257"/>
        <w:rPr>
          <w:rFonts w:hint="eastAsia"/>
          <w:b/>
          <w:sz w:val="24"/>
        </w:rPr>
      </w:pPr>
      <w:r>
        <w:rPr>
          <w:rFonts w:hint="eastAsia"/>
          <w:b/>
          <w:sz w:val="24"/>
        </w:rPr>
        <w:t>九、业务约定书的变更：</w:t>
      </w:r>
    </w:p>
    <w:p w14:paraId="20D90674">
      <w:pPr>
        <w:tabs>
          <w:tab w:val="left" w:pos="900"/>
        </w:tabs>
        <w:spacing w:line="360" w:lineRule="auto"/>
        <w:ind w:firstLine="616" w:firstLineChars="257"/>
        <w:rPr>
          <w:rFonts w:hint="eastAsia"/>
          <w:sz w:val="24"/>
        </w:rPr>
      </w:pPr>
      <w:r>
        <w:rPr>
          <w:rFonts w:hint="eastAsia"/>
          <w:sz w:val="24"/>
        </w:rPr>
        <w:t>1、业务约定书签订后，签约各方发现相关事项约定不明确，或者履行评估程序受到限制需要增加、调整约定事项的，可以协商对业务约定书相关条款进行变更，并签订补充协议或者重新签订业务约定书。</w:t>
      </w:r>
    </w:p>
    <w:p w14:paraId="3D05C847">
      <w:pPr>
        <w:tabs>
          <w:tab w:val="left" w:pos="900"/>
        </w:tabs>
        <w:spacing w:line="360" w:lineRule="auto"/>
        <w:ind w:firstLine="616" w:firstLineChars="257"/>
        <w:rPr>
          <w:rFonts w:hint="eastAsia"/>
          <w:sz w:val="24"/>
        </w:rPr>
      </w:pPr>
      <w:r>
        <w:rPr>
          <w:rFonts w:hint="eastAsia"/>
          <w:sz w:val="24"/>
        </w:rPr>
        <w:t>2、业务约定书签订后，评估目的、评估对象、评估基准日发生变化，或者评估范围发生重大变化，评估机构应当与委托方签订补充协议或者重新签订业务约定书。</w:t>
      </w:r>
    </w:p>
    <w:p w14:paraId="3E9EDDE5">
      <w:pPr>
        <w:tabs>
          <w:tab w:val="left" w:pos="900"/>
        </w:tabs>
        <w:spacing w:line="360" w:lineRule="auto"/>
        <w:ind w:firstLine="619" w:firstLineChars="257"/>
        <w:rPr>
          <w:rFonts w:hint="eastAsia"/>
          <w:sz w:val="24"/>
        </w:rPr>
      </w:pPr>
      <w:r>
        <w:rPr>
          <w:rFonts w:hint="eastAsia"/>
          <w:b/>
          <w:sz w:val="24"/>
        </w:rPr>
        <w:t>十、违约责任和争议解决</w:t>
      </w:r>
      <w:r>
        <w:rPr>
          <w:rFonts w:hint="eastAsia"/>
          <w:sz w:val="24"/>
        </w:rPr>
        <w:t>：</w:t>
      </w:r>
    </w:p>
    <w:p w14:paraId="6014EEE1">
      <w:pPr>
        <w:tabs>
          <w:tab w:val="left" w:pos="900"/>
        </w:tabs>
        <w:spacing w:line="360" w:lineRule="auto"/>
        <w:ind w:firstLine="616" w:firstLineChars="257"/>
        <w:rPr>
          <w:rFonts w:hint="eastAsia"/>
          <w:sz w:val="24"/>
        </w:rPr>
      </w:pPr>
      <w:r>
        <w:rPr>
          <w:rFonts w:hint="eastAsia"/>
          <w:sz w:val="24"/>
        </w:rPr>
        <w:t>发生违约责任和争议的解决方式如下：</w:t>
      </w:r>
    </w:p>
    <w:p w14:paraId="6573CB26">
      <w:pPr>
        <w:tabs>
          <w:tab w:val="left" w:pos="900"/>
        </w:tabs>
        <w:spacing w:line="360" w:lineRule="auto"/>
        <w:ind w:firstLine="616" w:firstLineChars="257"/>
        <w:rPr>
          <w:rFonts w:hint="eastAsia"/>
          <w:sz w:val="24"/>
        </w:rPr>
      </w:pPr>
      <w:r>
        <w:rPr>
          <w:rFonts w:hint="eastAsia"/>
          <w:sz w:val="24"/>
        </w:rPr>
        <w:t>1、双方通过协商和解；</w:t>
      </w:r>
    </w:p>
    <w:p w14:paraId="1A71558F">
      <w:pPr>
        <w:tabs>
          <w:tab w:val="left" w:pos="900"/>
        </w:tabs>
        <w:spacing w:line="360" w:lineRule="auto"/>
        <w:ind w:firstLine="616" w:firstLineChars="257"/>
        <w:rPr>
          <w:rFonts w:hint="eastAsia"/>
          <w:sz w:val="24"/>
        </w:rPr>
      </w:pPr>
      <w:r>
        <w:rPr>
          <w:rFonts w:hint="eastAsia"/>
          <w:sz w:val="24"/>
        </w:rPr>
        <w:t>2、由第三人进行调解；</w:t>
      </w:r>
    </w:p>
    <w:p w14:paraId="07177E07">
      <w:pPr>
        <w:tabs>
          <w:tab w:val="left" w:pos="900"/>
        </w:tabs>
        <w:spacing w:line="360" w:lineRule="auto"/>
        <w:ind w:firstLine="616" w:firstLineChars="257"/>
        <w:rPr>
          <w:rFonts w:hint="eastAsia"/>
          <w:sz w:val="24"/>
        </w:rPr>
      </w:pPr>
      <w:r>
        <w:rPr>
          <w:rFonts w:hint="eastAsia"/>
          <w:sz w:val="24"/>
        </w:rPr>
        <w:t>3、仲裁：在</w:t>
      </w:r>
      <w:r>
        <w:rPr>
          <w:rFonts w:hint="eastAsia"/>
          <w:sz w:val="24"/>
          <w:lang w:val="en-US" w:eastAsia="zh-CN"/>
        </w:rPr>
        <w:t>委托方</w:t>
      </w:r>
      <w:r>
        <w:rPr>
          <w:rFonts w:hint="eastAsia"/>
          <w:sz w:val="24"/>
        </w:rPr>
        <w:t>所在地仲裁机构进行仲裁；</w:t>
      </w:r>
    </w:p>
    <w:p w14:paraId="484942CD">
      <w:pPr>
        <w:tabs>
          <w:tab w:val="left" w:pos="900"/>
        </w:tabs>
        <w:spacing w:line="360" w:lineRule="auto"/>
        <w:ind w:firstLine="616" w:firstLineChars="257"/>
        <w:rPr>
          <w:rFonts w:hint="eastAsia"/>
          <w:sz w:val="24"/>
        </w:rPr>
      </w:pPr>
      <w:r>
        <w:rPr>
          <w:rFonts w:hint="eastAsia"/>
          <w:sz w:val="24"/>
        </w:rPr>
        <w:t>4、诉讼：在</w:t>
      </w:r>
      <w:r>
        <w:rPr>
          <w:rFonts w:hint="eastAsia"/>
          <w:sz w:val="24"/>
          <w:lang w:val="en-US" w:eastAsia="zh-CN"/>
        </w:rPr>
        <w:t>委托方</w:t>
      </w:r>
      <w:r>
        <w:rPr>
          <w:rFonts w:hint="eastAsia"/>
          <w:sz w:val="24"/>
        </w:rPr>
        <w:t>所在地的人民法院进行诉讼。</w:t>
      </w:r>
    </w:p>
    <w:p w14:paraId="0061B0DC">
      <w:pPr>
        <w:tabs>
          <w:tab w:val="left" w:pos="900"/>
        </w:tabs>
        <w:spacing w:line="360" w:lineRule="auto"/>
        <w:ind w:firstLine="616" w:firstLineChars="257"/>
        <w:rPr>
          <w:rFonts w:hint="eastAsia"/>
          <w:sz w:val="24"/>
        </w:rPr>
      </w:pPr>
      <w:r>
        <w:rPr>
          <w:rFonts w:hint="eastAsia"/>
          <w:sz w:val="24"/>
        </w:rPr>
        <w:t>本约定发生违约责任和争议解决时按上述第</w:t>
      </w:r>
      <w:r>
        <w:rPr>
          <w:rFonts w:hint="eastAsia"/>
          <w:sz w:val="24"/>
          <w:u w:val="single"/>
        </w:rPr>
        <w:t xml:space="preserve">     1      </w:t>
      </w:r>
      <w:r>
        <w:rPr>
          <w:rFonts w:hint="eastAsia"/>
          <w:sz w:val="24"/>
        </w:rPr>
        <w:t>条进行</w:t>
      </w:r>
      <w:r>
        <w:rPr>
          <w:rFonts w:hint="eastAsia"/>
          <w:sz w:val="24"/>
          <w:lang w:eastAsia="zh-CN"/>
        </w:rPr>
        <w:t>。</w:t>
      </w:r>
      <w:r>
        <w:rPr>
          <w:rFonts w:hint="eastAsia" w:ascii="Times New Roman" w:hAnsi="Times New Roman" w:eastAsia="宋体" w:cs="Times New Roman"/>
          <w:sz w:val="24"/>
        </w:rPr>
        <w:t>如协商不成</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则按上述第</w:t>
      </w:r>
      <w:r>
        <w:rPr>
          <w:rFonts w:hint="eastAsia" w:ascii="Times New Roman" w:hAnsi="Times New Roman" w:eastAsia="宋体" w:cs="Times New Roman"/>
          <w:sz w:val="24"/>
          <w:u w:val="single"/>
          <w:lang w:val="en-US" w:eastAsia="zh-CN"/>
        </w:rPr>
        <w:t>4</w:t>
      </w:r>
      <w:r>
        <w:rPr>
          <w:rFonts w:hint="eastAsia" w:ascii="Times New Roman" w:hAnsi="Times New Roman" w:eastAsia="宋体" w:cs="Times New Roman"/>
          <w:sz w:val="24"/>
          <w:lang w:val="en-US" w:eastAsia="zh-CN"/>
        </w:rPr>
        <w:t>条进行</w:t>
      </w:r>
      <w:r>
        <w:rPr>
          <w:rFonts w:hint="eastAsia" w:ascii="Times New Roman" w:hAnsi="Times New Roman" w:eastAsia="宋体" w:cs="Times New Roman"/>
          <w:sz w:val="24"/>
        </w:rPr>
        <w:t>。</w:t>
      </w:r>
    </w:p>
    <w:p w14:paraId="56DD8EDA">
      <w:pPr>
        <w:tabs>
          <w:tab w:val="left" w:pos="900"/>
        </w:tabs>
        <w:spacing w:line="360" w:lineRule="auto"/>
        <w:ind w:firstLine="619" w:firstLineChars="257"/>
        <w:rPr>
          <w:rFonts w:hint="eastAsia"/>
          <w:b/>
          <w:sz w:val="24"/>
        </w:rPr>
      </w:pPr>
      <w:r>
        <w:rPr>
          <w:rFonts w:hint="eastAsia"/>
          <w:b/>
          <w:sz w:val="24"/>
        </w:rPr>
        <w:t>十一、本约定书一式</w:t>
      </w:r>
      <w:r>
        <w:rPr>
          <w:rFonts w:hint="eastAsia"/>
          <w:b/>
          <w:sz w:val="24"/>
          <w:lang w:val="en-US" w:eastAsia="zh-CN"/>
        </w:rPr>
        <w:t>肆</w:t>
      </w:r>
      <w:r>
        <w:rPr>
          <w:rFonts w:hint="eastAsia"/>
          <w:b/>
          <w:sz w:val="24"/>
        </w:rPr>
        <w:t>份，委托方执贰份，评估机构执</w:t>
      </w:r>
      <w:r>
        <w:rPr>
          <w:rFonts w:hint="eastAsia"/>
          <w:b/>
          <w:sz w:val="24"/>
          <w:lang w:val="en-US" w:eastAsia="zh-CN"/>
        </w:rPr>
        <w:t>贰</w:t>
      </w:r>
      <w:r>
        <w:rPr>
          <w:rFonts w:hint="eastAsia"/>
          <w:b/>
          <w:sz w:val="24"/>
        </w:rPr>
        <w:t>份。</w:t>
      </w:r>
    </w:p>
    <w:p w14:paraId="6B82E921">
      <w:pPr>
        <w:tabs>
          <w:tab w:val="left" w:pos="360"/>
        </w:tabs>
        <w:spacing w:line="360" w:lineRule="auto"/>
        <w:ind w:firstLine="619" w:firstLineChars="257"/>
        <w:rPr>
          <w:rFonts w:hint="eastAsia"/>
          <w:sz w:val="24"/>
        </w:rPr>
      </w:pPr>
      <w:r>
        <w:rPr>
          <w:rFonts w:hint="eastAsia"/>
          <w:b/>
          <w:sz w:val="24"/>
        </w:rPr>
        <w:t>十二、签约时间</w:t>
      </w:r>
      <w:r>
        <w:rPr>
          <w:rFonts w:hint="eastAsia"/>
          <w:sz w:val="24"/>
        </w:rPr>
        <w:t xml:space="preserve">： </w:t>
      </w:r>
      <w:r>
        <w:rPr>
          <w:sz w:val="24"/>
        </w:rPr>
        <w:t xml:space="preserve">   </w:t>
      </w:r>
      <w:r>
        <w:rPr>
          <w:rFonts w:hint="eastAsia"/>
          <w:sz w:val="24"/>
          <w:lang w:val="en-US" w:eastAsia="zh-CN"/>
        </w:rPr>
        <w:t xml:space="preserve"> </w:t>
      </w:r>
      <w:r>
        <w:rPr>
          <w:rFonts w:hint="eastAsia"/>
          <w:sz w:val="24"/>
        </w:rPr>
        <w:t xml:space="preserve">年 </w:t>
      </w:r>
      <w:r>
        <w:rPr>
          <w:sz w:val="24"/>
        </w:rPr>
        <w:t xml:space="preserve"> </w:t>
      </w:r>
      <w:r>
        <w:rPr>
          <w:rFonts w:hint="eastAsia"/>
          <w:sz w:val="24"/>
          <w:lang w:val="en-US" w:eastAsia="zh-CN"/>
        </w:rPr>
        <w:t xml:space="preserve">  </w:t>
      </w:r>
      <w:r>
        <w:rPr>
          <w:rFonts w:hint="eastAsia"/>
          <w:sz w:val="24"/>
        </w:rPr>
        <w:t>月</w:t>
      </w:r>
      <w:r>
        <w:rPr>
          <w:sz w:val="24"/>
        </w:rPr>
        <w:t xml:space="preserve">  </w:t>
      </w:r>
      <w:r>
        <w:rPr>
          <w:rFonts w:hint="eastAsia"/>
          <w:sz w:val="24"/>
          <w:lang w:val="en-US" w:eastAsia="zh-CN"/>
        </w:rPr>
        <w:t xml:space="preserve">  </w:t>
      </w:r>
      <w:r>
        <w:rPr>
          <w:rFonts w:hint="eastAsia"/>
          <w:sz w:val="24"/>
        </w:rPr>
        <w:t>日</w:t>
      </w:r>
    </w:p>
    <w:p w14:paraId="63826D5F">
      <w:pPr>
        <w:spacing w:line="360" w:lineRule="auto"/>
        <w:ind w:firstLine="616" w:firstLineChars="257"/>
        <w:rPr>
          <w:rFonts w:hint="eastAsia"/>
          <w:sz w:val="24"/>
        </w:rPr>
      </w:pPr>
      <w:r>
        <w:rPr>
          <w:rFonts w:hint="eastAsia"/>
          <w:sz w:val="24"/>
        </w:rPr>
        <w:t xml:space="preserve"> </w:t>
      </w:r>
    </w:p>
    <w:p w14:paraId="69DAFAB9">
      <w:pPr>
        <w:spacing w:line="360" w:lineRule="auto"/>
        <w:ind w:firstLine="616" w:firstLineChars="257"/>
        <w:rPr>
          <w:rFonts w:hint="eastAsia"/>
          <w:sz w:val="24"/>
        </w:rPr>
      </w:pPr>
    </w:p>
    <w:p w14:paraId="541BB31B">
      <w:pPr>
        <w:spacing w:line="360" w:lineRule="auto"/>
        <w:ind w:firstLine="616" w:firstLineChars="257"/>
        <w:rPr>
          <w:rFonts w:hint="eastAsia"/>
          <w:sz w:val="24"/>
        </w:rPr>
      </w:pPr>
      <w:r>
        <w:rPr>
          <w:rFonts w:hint="eastAsia"/>
          <w:sz w:val="24"/>
        </w:rPr>
        <w:t>委托方（盖章）：                                评估机构（盖章）：</w:t>
      </w:r>
    </w:p>
    <w:p w14:paraId="2D0477EA">
      <w:pPr>
        <w:spacing w:line="360" w:lineRule="auto"/>
        <w:ind w:firstLine="616" w:firstLineChars="257"/>
        <w:rPr>
          <w:rFonts w:hint="eastAsia"/>
          <w:sz w:val="24"/>
        </w:rPr>
      </w:pPr>
    </w:p>
    <w:p w14:paraId="6CFE590D">
      <w:pPr>
        <w:spacing w:line="360" w:lineRule="auto"/>
        <w:ind w:firstLine="616" w:firstLineChars="257"/>
        <w:rPr>
          <w:rFonts w:hint="eastAsia"/>
          <w:sz w:val="24"/>
        </w:rPr>
      </w:pPr>
    </w:p>
    <w:p w14:paraId="7DB3DB89">
      <w:pPr>
        <w:spacing w:line="360" w:lineRule="auto"/>
        <w:rPr>
          <w:rFonts w:hint="eastAsia"/>
          <w:sz w:val="24"/>
        </w:rPr>
      </w:pPr>
    </w:p>
    <w:p w14:paraId="57DFA4E2">
      <w:pPr>
        <w:spacing w:line="360" w:lineRule="auto"/>
        <w:rPr>
          <w:rFonts w:hint="eastAsia"/>
          <w:sz w:val="24"/>
        </w:rPr>
      </w:pPr>
      <w:r>
        <w:rPr>
          <w:rFonts w:hint="eastAsia"/>
          <w:sz w:val="24"/>
        </w:rPr>
        <w:t>法定代表人(签字或加盖个人名章)</w:t>
      </w:r>
      <w:r>
        <w:rPr>
          <w:rFonts w:hint="eastAsia"/>
          <w:sz w:val="24"/>
          <w:lang w:eastAsia="zh-CN"/>
        </w:rPr>
        <w:t>：</w:t>
      </w:r>
      <w:r>
        <w:rPr>
          <w:rFonts w:hint="eastAsia"/>
          <w:sz w:val="24"/>
          <w:lang w:val="en-US" w:eastAsia="zh-CN"/>
        </w:rPr>
        <w:t xml:space="preserve">             </w:t>
      </w:r>
      <w:r>
        <w:rPr>
          <w:rFonts w:hint="eastAsia"/>
          <w:sz w:val="24"/>
        </w:rPr>
        <w:t>评估机构代表(签字或加盖个人名章)：</w:t>
      </w:r>
    </w:p>
    <w:p w14:paraId="53EE757C">
      <w:pPr>
        <w:spacing w:line="360" w:lineRule="auto"/>
        <w:ind w:firstLine="616" w:firstLineChars="257"/>
        <w:rPr>
          <w:rFonts w:hint="eastAsia"/>
          <w:sz w:val="24"/>
        </w:rPr>
      </w:pPr>
    </w:p>
    <w:p w14:paraId="39586E54">
      <w:pPr>
        <w:spacing w:line="360" w:lineRule="auto"/>
        <w:ind w:firstLine="616" w:firstLineChars="257"/>
        <w:rPr>
          <w:rFonts w:hint="eastAsia"/>
          <w:sz w:val="24"/>
        </w:rPr>
      </w:pPr>
      <w:r>
        <w:rPr>
          <w:rFonts w:hint="eastAsia"/>
          <w:sz w:val="24"/>
        </w:rPr>
        <w:t xml:space="preserve">                           </w:t>
      </w:r>
    </w:p>
    <w:p w14:paraId="5189EB87">
      <w:pPr>
        <w:spacing w:line="360" w:lineRule="auto"/>
        <w:ind w:firstLine="616" w:firstLineChars="257"/>
        <w:rPr>
          <w:rFonts w:hint="eastAsia"/>
          <w:sz w:val="24"/>
        </w:rPr>
      </w:pPr>
    </w:p>
    <w:p w14:paraId="3CBE8D47">
      <w:pPr>
        <w:spacing w:line="360" w:lineRule="auto"/>
        <w:ind w:firstLine="616" w:firstLineChars="257"/>
        <w:rPr>
          <w:rFonts w:hint="eastAsia"/>
          <w:sz w:val="24"/>
        </w:rPr>
      </w:pPr>
    </w:p>
    <w:p w14:paraId="05C3FD5B">
      <w:pPr>
        <w:spacing w:line="360" w:lineRule="auto"/>
        <w:ind w:firstLine="616" w:firstLineChars="257"/>
        <w:rPr>
          <w:rFonts w:hint="eastAsia"/>
          <w:sz w:val="24"/>
        </w:rPr>
      </w:pPr>
    </w:p>
    <w:sectPr>
      <w:pgSz w:w="11906" w:h="16838"/>
      <w:pgMar w:top="1402" w:right="1286"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NDdjNTk2MjY4Nzg5ODE3NWYxZGU4ODU0YjIwYzIifQ=="/>
  </w:docVars>
  <w:rsids>
    <w:rsidRoot w:val="004751C3"/>
    <w:rsid w:val="00016C60"/>
    <w:rsid w:val="000321E7"/>
    <w:rsid w:val="00041895"/>
    <w:rsid w:val="00062CE0"/>
    <w:rsid w:val="00062FA9"/>
    <w:rsid w:val="00087445"/>
    <w:rsid w:val="0009378A"/>
    <w:rsid w:val="000956AA"/>
    <w:rsid w:val="000A4EFC"/>
    <w:rsid w:val="000E528C"/>
    <w:rsid w:val="001005E8"/>
    <w:rsid w:val="001070E3"/>
    <w:rsid w:val="001106CB"/>
    <w:rsid w:val="00111EC8"/>
    <w:rsid w:val="0015470E"/>
    <w:rsid w:val="001654F9"/>
    <w:rsid w:val="00195BDC"/>
    <w:rsid w:val="001D46DF"/>
    <w:rsid w:val="002135AF"/>
    <w:rsid w:val="00223B85"/>
    <w:rsid w:val="00230437"/>
    <w:rsid w:val="00240153"/>
    <w:rsid w:val="00244CAF"/>
    <w:rsid w:val="00291626"/>
    <w:rsid w:val="002F204E"/>
    <w:rsid w:val="002F47A3"/>
    <w:rsid w:val="002F52B4"/>
    <w:rsid w:val="00311C24"/>
    <w:rsid w:val="003310B6"/>
    <w:rsid w:val="00337910"/>
    <w:rsid w:val="003420E5"/>
    <w:rsid w:val="00346703"/>
    <w:rsid w:val="003472A7"/>
    <w:rsid w:val="003574ED"/>
    <w:rsid w:val="00376603"/>
    <w:rsid w:val="003878B4"/>
    <w:rsid w:val="003D502D"/>
    <w:rsid w:val="003F56DA"/>
    <w:rsid w:val="00410C7F"/>
    <w:rsid w:val="00440831"/>
    <w:rsid w:val="00441591"/>
    <w:rsid w:val="0044602A"/>
    <w:rsid w:val="00450477"/>
    <w:rsid w:val="004525D9"/>
    <w:rsid w:val="00454623"/>
    <w:rsid w:val="00460075"/>
    <w:rsid w:val="00472B8F"/>
    <w:rsid w:val="004750BC"/>
    <w:rsid w:val="004751C3"/>
    <w:rsid w:val="0048151E"/>
    <w:rsid w:val="00484C21"/>
    <w:rsid w:val="004970E7"/>
    <w:rsid w:val="004C2FAF"/>
    <w:rsid w:val="00501FBE"/>
    <w:rsid w:val="00532089"/>
    <w:rsid w:val="00540A01"/>
    <w:rsid w:val="00540A45"/>
    <w:rsid w:val="00585422"/>
    <w:rsid w:val="005B040F"/>
    <w:rsid w:val="005D08E2"/>
    <w:rsid w:val="005D4D53"/>
    <w:rsid w:val="005E5F60"/>
    <w:rsid w:val="005F0981"/>
    <w:rsid w:val="0060192C"/>
    <w:rsid w:val="00604FBC"/>
    <w:rsid w:val="006069C9"/>
    <w:rsid w:val="00612298"/>
    <w:rsid w:val="006644F1"/>
    <w:rsid w:val="006668C6"/>
    <w:rsid w:val="00673FEA"/>
    <w:rsid w:val="00687AF5"/>
    <w:rsid w:val="006950CB"/>
    <w:rsid w:val="00697F76"/>
    <w:rsid w:val="006A1811"/>
    <w:rsid w:val="006A4652"/>
    <w:rsid w:val="006A527D"/>
    <w:rsid w:val="006E0EFA"/>
    <w:rsid w:val="00706EE6"/>
    <w:rsid w:val="00715156"/>
    <w:rsid w:val="00735E24"/>
    <w:rsid w:val="00741C92"/>
    <w:rsid w:val="00745738"/>
    <w:rsid w:val="007628BA"/>
    <w:rsid w:val="007833BA"/>
    <w:rsid w:val="007D3195"/>
    <w:rsid w:val="007E14DB"/>
    <w:rsid w:val="007E6915"/>
    <w:rsid w:val="007E7643"/>
    <w:rsid w:val="0080409E"/>
    <w:rsid w:val="00855F3D"/>
    <w:rsid w:val="0087381A"/>
    <w:rsid w:val="00893A20"/>
    <w:rsid w:val="008D4B75"/>
    <w:rsid w:val="008D5D8C"/>
    <w:rsid w:val="008F3AC6"/>
    <w:rsid w:val="00926855"/>
    <w:rsid w:val="009273F4"/>
    <w:rsid w:val="009550EF"/>
    <w:rsid w:val="00955324"/>
    <w:rsid w:val="00962097"/>
    <w:rsid w:val="00964B39"/>
    <w:rsid w:val="00976C00"/>
    <w:rsid w:val="00985FA6"/>
    <w:rsid w:val="00990353"/>
    <w:rsid w:val="009956D8"/>
    <w:rsid w:val="00995ABA"/>
    <w:rsid w:val="00997AD0"/>
    <w:rsid w:val="009B6FBD"/>
    <w:rsid w:val="009D4BC4"/>
    <w:rsid w:val="009D6F7C"/>
    <w:rsid w:val="00A378E4"/>
    <w:rsid w:val="00A40BE0"/>
    <w:rsid w:val="00A5050F"/>
    <w:rsid w:val="00A51F3D"/>
    <w:rsid w:val="00A820C1"/>
    <w:rsid w:val="00A874B4"/>
    <w:rsid w:val="00AA5CA6"/>
    <w:rsid w:val="00AE04EC"/>
    <w:rsid w:val="00AE5F57"/>
    <w:rsid w:val="00AF760B"/>
    <w:rsid w:val="00B1743C"/>
    <w:rsid w:val="00B60063"/>
    <w:rsid w:val="00B80B11"/>
    <w:rsid w:val="00B85AD4"/>
    <w:rsid w:val="00BE43EC"/>
    <w:rsid w:val="00BE6AF5"/>
    <w:rsid w:val="00BE7FBD"/>
    <w:rsid w:val="00C122B9"/>
    <w:rsid w:val="00C12524"/>
    <w:rsid w:val="00C50C94"/>
    <w:rsid w:val="00C6163F"/>
    <w:rsid w:val="00C646CD"/>
    <w:rsid w:val="00C82232"/>
    <w:rsid w:val="00CB0F68"/>
    <w:rsid w:val="00CB4A3B"/>
    <w:rsid w:val="00CB4FE3"/>
    <w:rsid w:val="00CB6150"/>
    <w:rsid w:val="00CC7D48"/>
    <w:rsid w:val="00CD3D57"/>
    <w:rsid w:val="00CD62DB"/>
    <w:rsid w:val="00CF36DF"/>
    <w:rsid w:val="00D0763C"/>
    <w:rsid w:val="00D07F9D"/>
    <w:rsid w:val="00D414C3"/>
    <w:rsid w:val="00D42375"/>
    <w:rsid w:val="00D4301A"/>
    <w:rsid w:val="00D5265B"/>
    <w:rsid w:val="00D818BD"/>
    <w:rsid w:val="00D819AE"/>
    <w:rsid w:val="00D867E6"/>
    <w:rsid w:val="00D9295B"/>
    <w:rsid w:val="00DB412D"/>
    <w:rsid w:val="00DC2BF9"/>
    <w:rsid w:val="00DE2ABE"/>
    <w:rsid w:val="00E017BE"/>
    <w:rsid w:val="00E129C5"/>
    <w:rsid w:val="00E56814"/>
    <w:rsid w:val="00E607BD"/>
    <w:rsid w:val="00E6567B"/>
    <w:rsid w:val="00E66F32"/>
    <w:rsid w:val="00E7014C"/>
    <w:rsid w:val="00E9706E"/>
    <w:rsid w:val="00EA25F8"/>
    <w:rsid w:val="00EB08D6"/>
    <w:rsid w:val="00EC4A76"/>
    <w:rsid w:val="00EC6A8D"/>
    <w:rsid w:val="00ED391A"/>
    <w:rsid w:val="00EE2A02"/>
    <w:rsid w:val="00EE44CB"/>
    <w:rsid w:val="00EE4544"/>
    <w:rsid w:val="00F035E9"/>
    <w:rsid w:val="00F0726D"/>
    <w:rsid w:val="00F2264D"/>
    <w:rsid w:val="00F80AEB"/>
    <w:rsid w:val="00F82B34"/>
    <w:rsid w:val="00FB05A4"/>
    <w:rsid w:val="00FD5A62"/>
    <w:rsid w:val="00FD603E"/>
    <w:rsid w:val="17B0240D"/>
    <w:rsid w:val="20230D58"/>
    <w:rsid w:val="24A94465"/>
    <w:rsid w:val="26D56E10"/>
    <w:rsid w:val="59DE1021"/>
    <w:rsid w:val="783B43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31"/>
      <w:szCs w:val="31"/>
      <w:lang w:val="en-US" w:eastAsia="en-US" w:bidi="ar-SA"/>
    </w:rPr>
  </w:style>
  <w:style w:type="paragraph" w:styleId="3">
    <w:name w:val="Subtitle"/>
    <w:basedOn w:val="1"/>
    <w:next w:val="1"/>
    <w:qFormat/>
    <w:uiPriority w:val="0"/>
    <w:pPr>
      <w:widowControl/>
      <w:adjustRightInd w:val="0"/>
      <w:snapToGrid w:val="0"/>
      <w:spacing w:before="240" w:after="60" w:line="312" w:lineRule="auto"/>
      <w:jc w:val="center"/>
      <w:outlineLvl w:val="1"/>
    </w:pPr>
    <w:rPr>
      <w:rFonts w:ascii="Cambria" w:hAnsi="Cambria"/>
      <w:b/>
      <w:bCs/>
      <w:kern w:val="28"/>
      <w:sz w:val="32"/>
      <w:szCs w:val="32"/>
    </w:rPr>
  </w:style>
  <w:style w:type="paragraph" w:styleId="4">
    <w:name w:val="Body Text Indent"/>
    <w:basedOn w:val="1"/>
    <w:qFormat/>
    <w:uiPriority w:val="0"/>
    <w:pPr>
      <w:ind w:firstLine="630"/>
    </w:pPr>
    <w:rPr>
      <w:sz w:val="32"/>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1"/>
    <w:qFormat/>
    <w:uiPriority w:val="0"/>
    <w:pPr>
      <w:ind w:firstLine="640" w:firstLineChars="200"/>
    </w:p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www.ghostpc.cn</Company>
  <Pages>3</Pages>
  <Words>1646</Words>
  <Characters>1655</Characters>
  <Lines>13</Lines>
  <Paragraphs>3</Paragraphs>
  <TotalTime>4</TotalTime>
  <ScaleCrop>false</ScaleCrop>
  <LinksUpToDate>false</LinksUpToDate>
  <CharactersWithSpaces>1766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2011-02-14T07:52:00Z</dcterms:created>
  <dc:creator>诚汇</dc:creator>
  <cp:lastModifiedBy>：）</cp:lastModifiedBy>
  <cp:lastPrinted>2025-08-04T10:06:00Z</cp:lastPrinted>
  <dcterms:modified xsi:type="dcterms:W3CDTF">2025-08-06T09:10:46Z</dcterms:modified>
  <dc:title>资产评估业务约定书</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F2BA2D693ECB4546BB039F70A581BCB0_13</vt:lpwstr>
  </property>
  <property fmtid="{D5CDD505-2E9C-101B-9397-08002B2CF9AE}" pid="4" name="KSOTemplateDocerSaveRecord">
    <vt:lpwstr>eyJoZGlkIjoiM2RhYjE1YzA1N2Q2YTQ0OWE2Y2JlODFmMDAyZWQ0YmIiLCJ1c2VySWQiOiI5Njc5NjI4NjMifQ==</vt:lpwstr>
  </property>
</Properties>
</file>