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tbl>
      <w:tblPr>
        <w:tblStyle w:val="3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6"/>
        <w:gridCol w:w="698"/>
        <w:gridCol w:w="2162"/>
        <w:gridCol w:w="2270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54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单价限价及采购预算限价表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品名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年预估量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vertAlign w:val="baseline"/>
                <w:lang w:val="en-US" w:eastAsia="zh-CN"/>
              </w:rPr>
              <w:t>采购预算限价金额（元）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台布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2000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4.5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椅套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3.5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口布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7200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0.9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桌旗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厨衣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6.5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围裙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600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C0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工衣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工裤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西服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西裤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C0000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大衣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衬衣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长裙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短裙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沙发套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床单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2.3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被套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3.5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枕套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1.2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窗帘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vertAlign w:val="baseline"/>
                <w:lang w:val="en-US" w:eastAsia="zh-CN"/>
              </w:rPr>
              <w:t>36820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4CAC6146"/>
    <w:rsid w:val="4CA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2025-03-25T07:03:00Z</dcterms:created>
  <dc:creator>浩南</dc:creator>
  <cp:lastModifiedBy>浩南</cp:lastModifiedBy>
  <dcterms:modified xsi:type="dcterms:W3CDTF">2025-03-25T07:08:26Z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DB79D3E6E4D74A74B4713FA4AE41D04B_11</vt:lpwstr>
  </property>
</Properties>
</file>