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79D1">
      <w:pPr>
        <w:jc w:val="center"/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：报价清单及参数</w:t>
      </w:r>
    </w:p>
    <w:p w14:paraId="7D55BFEA"/>
    <w:tbl>
      <w:tblPr>
        <w:tblStyle w:val="2"/>
        <w:tblW w:w="8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70"/>
        <w:gridCol w:w="4521"/>
        <w:gridCol w:w="417"/>
        <w:gridCol w:w="352"/>
        <w:gridCol w:w="372"/>
        <w:gridCol w:w="404"/>
        <w:gridCol w:w="984"/>
      </w:tblGrid>
      <w:tr w14:paraId="0105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6314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F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流量卡</w:t>
            </w:r>
          </w:p>
        </w:tc>
        <w:tc>
          <w:tcPr>
            <w:tcW w:w="4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5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1、4G流量池套餐可用时长不少于365天。</w:t>
            </w:r>
          </w:p>
          <w:p w14:paraId="406225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2、流量要求为通用流量，可用于各种数据业务，并确保音视频流能稳定传输，至少满足3路 每路4MB/s码流同时取流的上传带宽需求。</w:t>
            </w:r>
          </w:p>
          <w:p w14:paraId="745266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3、要求流量不限制使用平台、不限制设备，不限制对接运营商。</w:t>
            </w:r>
          </w:p>
          <w:p w14:paraId="54609D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4、要求流量卡无月使用限额、限速要求。</w:t>
            </w:r>
          </w:p>
          <w:p w14:paraId="1330D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5、流量覆盖范围至少包括四川省，包括城市区域、郊区及偏远地区。</w:t>
            </w:r>
          </w:p>
          <w:p w14:paraId="3FA047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6、要求可供使用流量池数量不少于100个。</w:t>
            </w:r>
          </w:p>
          <w:p w14:paraId="3B45D6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7、要求流量消耗计量准确。</w:t>
            </w:r>
          </w:p>
          <w:p w14:paraId="0C674F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8、要求提供管理平台，包括但不限于按日查询单卡已用流量、流量池剩余用量等各种数据查询服务。</w:t>
            </w:r>
          </w:p>
          <w:p w14:paraId="33E3F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9、要求管理平台支持流量卡在不同池量池转移或移出等操作，转移生效时间不超过2小时，要求流量卡在不同流量池转移操作后不需重启设备。</w:t>
            </w:r>
          </w:p>
          <w:p w14:paraId="379B1B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10、要求提供流量卡多重定向，设备与流量卡重新绑定等服务，每次重新定向、重新绑定的生效时间不超过48小时。</w:t>
            </w:r>
          </w:p>
          <w:p w14:paraId="64337E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11、每年流量总限额为35000G，按批次所需提供流量卡、流量池套餐，据实结算，每批次无最小数量限制。</w:t>
            </w:r>
          </w:p>
          <w:p w14:paraId="5E4A3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12、服务过程中出现故障，要求响应时间不超过2小时，故障处置时间不超过12小时。</w:t>
            </w:r>
          </w:p>
          <w:p w14:paraId="03A2F6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13、要求供应服务商解决实名认证问题，不能因实名认证问题造成中途停机，更换流量卡等问题。</w:t>
            </w:r>
          </w:p>
          <w:p w14:paraId="40B006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14、提供合规增值税专用发票。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3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A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1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0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需注明后期流量卡继续使用费用</w:t>
            </w:r>
          </w:p>
        </w:tc>
      </w:tr>
      <w:tr w14:paraId="3CE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2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100G容量流量池</w:t>
            </w:r>
          </w:p>
        </w:tc>
        <w:tc>
          <w:tcPr>
            <w:tcW w:w="4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3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7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D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7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2D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3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500G容量流量池</w:t>
            </w:r>
          </w:p>
        </w:tc>
        <w:tc>
          <w:tcPr>
            <w:tcW w:w="4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E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C6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2C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F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DF4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2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1000G容量流量池</w:t>
            </w:r>
          </w:p>
        </w:tc>
        <w:tc>
          <w:tcPr>
            <w:tcW w:w="4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8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1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5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4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1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831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9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3000G</w:t>
            </w:r>
          </w:p>
          <w:p w14:paraId="2995D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容量流量池</w:t>
            </w:r>
          </w:p>
        </w:tc>
        <w:tc>
          <w:tcPr>
            <w:tcW w:w="4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1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A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B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5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4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5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8D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B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5000G容量流量池</w:t>
            </w:r>
          </w:p>
        </w:tc>
        <w:tc>
          <w:tcPr>
            <w:tcW w:w="4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1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5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B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B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F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7DF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D7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5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6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77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71F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1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3B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元（大写：人民币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</w:tbl>
    <w:p w14:paraId="50B013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282D"/>
    <w:rsid w:val="3AB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2025-03-06T09:34:00Z</dcterms:created>
  <dc:creator>海浪与山</dc:creator>
  <cp:lastModifiedBy>海浪与山</cp:lastModifiedBy>
  <dcterms:modified xsi:type="dcterms:W3CDTF">2025-03-06T09:35:34Z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65AABBFE4F324BA4A562116F13ECE83A_11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