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广汉兴鑫水务有限责任公司：</w:t>
      </w:r>
    </w:p>
    <w:p w14:paraId="1152C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广汉市区域污水处理能力提升-第一污水处理厂提质增效工程</w:t>
      </w:r>
      <w:r>
        <w:rPr>
          <w:rFonts w:hint="eastAsia" w:ascii="宋体" w:hAnsi="宋体" w:cs="宋体"/>
          <w:sz w:val="32"/>
          <w:szCs w:val="32"/>
          <w:u w:val="single"/>
          <w:vertAlign w:val="baseline"/>
          <w:lang w:val="en-US" w:eastAsia="zh-CN"/>
        </w:rPr>
        <w:t>环评验收服务采购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项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cs="宋体"/>
          <w:sz w:val="32"/>
          <w:szCs w:val="32"/>
          <w:u w:val="single"/>
          <w:vertAlign w:val="baseline"/>
          <w:lang w:val="en-US" w:eastAsia="zh-CN"/>
        </w:rPr>
        <w:t>环评验收服务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  <w:bookmarkStart w:id="1" w:name="_GoBack"/>
      <w:bookmarkEnd w:id="1"/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5C4837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17939D3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192</Characters>
  <Lines>0</Lines>
  <Paragraphs>0</Paragraphs>
  <TotalTime>0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2025-03-11T02:27:54Z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