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AB07">
      <w:pPr>
        <w:bidi w:val="0"/>
        <w:rPr>
          <w:rFonts w:hint="default" w:ascii="黑体" w:hAnsi="黑体" w:eastAsia="黑体" w:cs="黑体"/>
          <w:sz w:val="36"/>
          <w:szCs w:val="32"/>
          <w:lang w:val="en-US" w:eastAsia="zh-CN"/>
        </w:rPr>
      </w:pPr>
      <w:r>
        <w:rPr>
          <w:rFonts w:hint="eastAsia" w:ascii="黑体" w:hAnsi="黑体" w:eastAsia="黑体" w:cs="黑体"/>
          <w:sz w:val="32"/>
          <w:szCs w:val="28"/>
          <w:lang w:val="en-US" w:eastAsia="zh-CN"/>
        </w:rPr>
        <w:t>附件3</w:t>
      </w:r>
    </w:p>
    <w:p w14:paraId="06FC2134">
      <w:pPr>
        <w:rPr>
          <w:rFonts w:ascii="宋体" w:hAnsi="宋体"/>
          <w:b/>
          <w:bCs/>
          <w:color w:val="000000"/>
          <w:sz w:val="48"/>
          <w:szCs w:val="52"/>
        </w:rPr>
      </w:pPr>
    </w:p>
    <w:p w14:paraId="4457FB72">
      <w:pPr>
        <w:spacing w:line="1200" w:lineRule="auto"/>
        <w:jc w:val="center"/>
        <w:rPr>
          <w:rFonts w:hint="eastAsia" w:ascii="宋体" w:hAnsi="宋体"/>
          <w:b/>
          <w:sz w:val="48"/>
          <w:szCs w:val="48"/>
          <w:lang w:val="en-US" w:eastAsia="zh-CN"/>
        </w:rPr>
      </w:pPr>
      <w:r>
        <w:rPr>
          <w:rFonts w:hint="eastAsia" w:ascii="宋体" w:hAnsi="宋体"/>
          <w:b/>
          <w:sz w:val="48"/>
          <w:szCs w:val="48"/>
          <w:lang w:val="en-US" w:eastAsia="zh-CN"/>
        </w:rPr>
        <w:t>广汉第二（雒南）污水处理厂</w:t>
      </w:r>
    </w:p>
    <w:p w14:paraId="4DB286DB">
      <w:pPr>
        <w:spacing w:line="1200" w:lineRule="auto"/>
        <w:jc w:val="center"/>
        <w:rPr>
          <w:rFonts w:ascii="宋体" w:hAnsi="宋体"/>
          <w:b/>
          <w:sz w:val="48"/>
          <w:szCs w:val="48"/>
        </w:rPr>
      </w:pPr>
      <w:r>
        <w:rPr>
          <w:rFonts w:hint="eastAsia" w:ascii="宋体" w:hAnsi="宋体"/>
          <w:b/>
          <w:sz w:val="48"/>
          <w:szCs w:val="48"/>
          <w:lang w:val="en-US" w:eastAsia="zh-CN"/>
        </w:rPr>
        <w:t>BBR生物转盘</w:t>
      </w:r>
      <w:r>
        <w:rPr>
          <w:rFonts w:hint="eastAsia" w:ascii="宋体" w:hAnsi="宋体"/>
          <w:b/>
          <w:sz w:val="48"/>
          <w:szCs w:val="48"/>
        </w:rPr>
        <w:t>维修</w:t>
      </w:r>
      <w:r>
        <w:rPr>
          <w:rFonts w:hint="eastAsia" w:ascii="宋体" w:hAnsi="宋体"/>
          <w:b/>
          <w:sz w:val="48"/>
          <w:szCs w:val="48"/>
          <w:lang w:val="en-US" w:eastAsia="zh-CN"/>
        </w:rPr>
        <w:t>服务</w:t>
      </w:r>
      <w:r>
        <w:rPr>
          <w:rFonts w:hint="eastAsia" w:ascii="宋体" w:hAnsi="宋体"/>
          <w:b/>
          <w:sz w:val="48"/>
          <w:szCs w:val="48"/>
        </w:rPr>
        <w:t>合同</w:t>
      </w:r>
    </w:p>
    <w:p w14:paraId="19AE023A">
      <w:pPr>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（以实际签订为准）</w:t>
      </w:r>
    </w:p>
    <w:p w14:paraId="33B5A1FF">
      <w:pPr>
        <w:jc w:val="center"/>
        <w:rPr>
          <w:rFonts w:ascii="宋体" w:hAnsi="宋体"/>
          <w:b/>
          <w:bCs/>
          <w:color w:val="000000"/>
          <w:sz w:val="48"/>
          <w:szCs w:val="48"/>
        </w:rPr>
      </w:pPr>
    </w:p>
    <w:p w14:paraId="514097B2">
      <w:pPr>
        <w:jc w:val="center"/>
        <w:rPr>
          <w:rFonts w:ascii="宋体" w:hAnsi="宋体"/>
          <w:b/>
          <w:bCs/>
          <w:color w:val="000000"/>
          <w:sz w:val="48"/>
          <w:szCs w:val="48"/>
        </w:rPr>
      </w:pPr>
    </w:p>
    <w:p w14:paraId="59B04F74">
      <w:pPr>
        <w:jc w:val="center"/>
        <w:rPr>
          <w:rFonts w:ascii="宋体" w:hAnsi="宋体"/>
          <w:b/>
          <w:bCs/>
          <w:color w:val="333399"/>
          <w:sz w:val="48"/>
          <w:szCs w:val="48"/>
        </w:rPr>
      </w:pPr>
    </w:p>
    <w:p w14:paraId="36F3041F">
      <w:pPr>
        <w:pStyle w:val="11"/>
        <w:tabs>
          <w:tab w:val="left" w:pos="567"/>
        </w:tabs>
        <w:ind w:firstLine="482"/>
        <w:rPr>
          <w:rFonts w:ascii="宋体" w:hAnsi="宋体"/>
          <w:b/>
          <w:bCs/>
          <w:color w:val="333399"/>
          <w:sz w:val="48"/>
          <w:szCs w:val="48"/>
        </w:rPr>
      </w:pPr>
    </w:p>
    <w:p w14:paraId="267B76A1">
      <w:pPr>
        <w:pStyle w:val="11"/>
        <w:tabs>
          <w:tab w:val="left" w:pos="567"/>
        </w:tabs>
        <w:ind w:firstLine="482"/>
        <w:rPr>
          <w:rFonts w:ascii="宋体" w:hAnsi="宋体"/>
          <w:b/>
          <w:bCs/>
          <w:color w:val="333399"/>
          <w:sz w:val="48"/>
          <w:szCs w:val="48"/>
        </w:rPr>
      </w:pPr>
    </w:p>
    <w:p w14:paraId="5C1334AE">
      <w:pPr>
        <w:rPr>
          <w:rFonts w:ascii="宋体" w:hAnsi="宋体"/>
          <w:b/>
          <w:sz w:val="32"/>
          <w:szCs w:val="32"/>
        </w:rPr>
      </w:pPr>
    </w:p>
    <w:p w14:paraId="63E04C01">
      <w:pPr>
        <w:ind w:firstLine="723" w:firstLineChars="200"/>
        <w:rPr>
          <w:rFonts w:hint="default" w:ascii="宋体" w:hAnsi="宋体" w:eastAsia="宋体"/>
          <w:b/>
          <w:bCs/>
          <w:sz w:val="36"/>
          <w:szCs w:val="20"/>
          <w:lang w:val="en-US" w:eastAsia="zh-CN"/>
        </w:rPr>
      </w:pPr>
      <w:r>
        <w:rPr>
          <w:rFonts w:hint="eastAsia" w:ascii="宋体" w:hAnsi="宋体"/>
          <w:b/>
          <w:bCs/>
          <w:sz w:val="36"/>
          <w:szCs w:val="20"/>
        </w:rPr>
        <w:t>甲    方：</w:t>
      </w:r>
      <w:r>
        <w:rPr>
          <w:rFonts w:hint="eastAsia" w:ascii="宋体" w:hAnsi="宋体"/>
          <w:b/>
          <w:bCs/>
          <w:sz w:val="36"/>
          <w:szCs w:val="20"/>
          <w:lang w:val="en-US" w:eastAsia="zh-CN"/>
        </w:rPr>
        <w:t>广汉兴鑫水务有限责任公司</w:t>
      </w:r>
    </w:p>
    <w:p w14:paraId="73B6879D">
      <w:pPr>
        <w:ind w:firstLine="723" w:firstLineChars="200"/>
        <w:rPr>
          <w:rFonts w:ascii="宋体" w:hAnsi="宋体"/>
          <w:b/>
          <w:bCs/>
          <w:sz w:val="36"/>
          <w:szCs w:val="20"/>
        </w:rPr>
      </w:pPr>
      <w:r>
        <w:rPr>
          <w:rFonts w:hint="eastAsia" w:ascii="宋体" w:hAnsi="宋体"/>
          <w:b/>
          <w:bCs/>
          <w:sz w:val="36"/>
          <w:szCs w:val="20"/>
        </w:rPr>
        <w:t xml:space="preserve">乙    方： </w:t>
      </w:r>
    </w:p>
    <w:p w14:paraId="2681C62F">
      <w:pPr>
        <w:ind w:firstLine="723" w:firstLineChars="200"/>
        <w:rPr>
          <w:rFonts w:hint="eastAsia" w:ascii="宋体" w:hAnsi="宋体"/>
          <w:b/>
          <w:bCs/>
          <w:sz w:val="36"/>
          <w:szCs w:val="20"/>
        </w:rPr>
      </w:pPr>
      <w:r>
        <w:rPr>
          <w:rFonts w:ascii="宋体" w:hAnsi="宋体"/>
          <w:b/>
          <w:bCs/>
          <w:sz w:val="36"/>
          <w:szCs w:val="20"/>
        </w:rPr>
        <w:t>签订时间</w:t>
      </w:r>
      <w:r>
        <w:rPr>
          <w:rFonts w:hint="eastAsia" w:ascii="宋体" w:hAnsi="宋体"/>
          <w:b/>
          <w:bCs/>
          <w:sz w:val="36"/>
          <w:szCs w:val="20"/>
        </w:rPr>
        <w:t>：</w:t>
      </w:r>
    </w:p>
    <w:p w14:paraId="62D85ECF">
      <w:pPr>
        <w:pStyle w:val="11"/>
        <w:tabs>
          <w:tab w:val="left" w:pos="567"/>
        </w:tabs>
        <w:ind w:firstLine="210"/>
        <w:rPr>
          <w:rFonts w:hint="eastAsia"/>
        </w:rPr>
      </w:pPr>
    </w:p>
    <w:p w14:paraId="44CC5E8A">
      <w:pPr>
        <w:pStyle w:val="11"/>
        <w:tabs>
          <w:tab w:val="left" w:pos="567"/>
        </w:tabs>
        <w:ind w:firstLine="210"/>
        <w:rPr>
          <w:rFonts w:hint="eastAsia"/>
        </w:rPr>
      </w:pPr>
    </w:p>
    <w:p w14:paraId="3C1BEEC7">
      <w:pPr>
        <w:pStyle w:val="11"/>
        <w:tabs>
          <w:tab w:val="left" w:pos="567"/>
        </w:tabs>
        <w:ind w:firstLine="210"/>
        <w:rPr>
          <w:rFonts w:hint="eastAsia"/>
        </w:rPr>
      </w:pPr>
    </w:p>
    <w:p w14:paraId="1B25DA08">
      <w:pPr>
        <w:pStyle w:val="11"/>
        <w:tabs>
          <w:tab w:val="left" w:pos="567"/>
        </w:tabs>
        <w:ind w:firstLine="210"/>
        <w:rPr>
          <w:rFonts w:hint="eastAsia"/>
        </w:rPr>
      </w:pPr>
    </w:p>
    <w:p w14:paraId="7501491A">
      <w:pPr>
        <w:pStyle w:val="11"/>
        <w:tabs>
          <w:tab w:val="left" w:pos="567"/>
        </w:tabs>
        <w:ind w:firstLine="210"/>
        <w:rPr>
          <w:rFonts w:hint="eastAsia"/>
        </w:rPr>
      </w:pPr>
    </w:p>
    <w:p w14:paraId="185E0FF8">
      <w:pPr>
        <w:pStyle w:val="11"/>
        <w:tabs>
          <w:tab w:val="left" w:pos="567"/>
        </w:tabs>
        <w:ind w:firstLine="210"/>
        <w:rPr>
          <w:rFonts w:hint="eastAsia"/>
        </w:rPr>
      </w:pPr>
    </w:p>
    <w:p w14:paraId="5AF93158">
      <w:pPr>
        <w:pStyle w:val="11"/>
        <w:tabs>
          <w:tab w:val="left" w:pos="567"/>
        </w:tabs>
        <w:ind w:firstLine="210"/>
        <w:rPr>
          <w:rFonts w:hint="eastAsia"/>
        </w:rPr>
      </w:pPr>
    </w:p>
    <w:p w14:paraId="200BB636">
      <w:pPr>
        <w:spacing w:line="320" w:lineRule="exact"/>
        <w:rPr>
          <w:rFonts w:ascii="宋体" w:hAnsi="宋体"/>
          <w:sz w:val="24"/>
        </w:rPr>
      </w:pPr>
    </w:p>
    <w:p w14:paraId="56F7B443">
      <w:pPr>
        <w:autoSpaceDE w:val="0"/>
        <w:autoSpaceDN w:val="0"/>
        <w:adjustRightInd w:val="0"/>
        <w:spacing w:line="400" w:lineRule="exact"/>
        <w:rPr>
          <w:rFonts w:ascii="宋体" w:hAnsi="宋体"/>
          <w:sz w:val="24"/>
        </w:rPr>
      </w:pPr>
      <w:r>
        <w:rPr>
          <w:rFonts w:hint="eastAsia" w:ascii="宋体" w:hAnsi="宋体"/>
          <w:sz w:val="24"/>
        </w:rPr>
        <w:t xml:space="preserve">    </w:t>
      </w:r>
      <w:r>
        <w:rPr>
          <w:rFonts w:ascii="宋体" w:hAnsi="宋体"/>
          <w:sz w:val="24"/>
        </w:rPr>
        <w:t>甲乙双方依照《中华人民共和国</w:t>
      </w:r>
      <w:r>
        <w:rPr>
          <w:rFonts w:hint="eastAsia" w:ascii="宋体" w:hAnsi="宋体"/>
          <w:sz w:val="24"/>
        </w:rPr>
        <w:t>民法典</w:t>
      </w:r>
      <w:r>
        <w:rPr>
          <w:rFonts w:ascii="宋体" w:hAnsi="宋体"/>
          <w:sz w:val="24"/>
        </w:rPr>
        <w:t>》及其他有关法律</w:t>
      </w:r>
      <w:r>
        <w:rPr>
          <w:rFonts w:hint="eastAsia" w:ascii="宋体" w:hAnsi="宋体"/>
          <w:sz w:val="24"/>
        </w:rPr>
        <w:t>、</w:t>
      </w:r>
      <w:r>
        <w:rPr>
          <w:rFonts w:ascii="宋体" w:hAnsi="宋体"/>
          <w:sz w:val="24"/>
        </w:rPr>
        <w:t>法规</w:t>
      </w:r>
      <w:r>
        <w:rPr>
          <w:rFonts w:hint="eastAsia" w:ascii="宋体" w:hAnsi="宋体"/>
          <w:sz w:val="24"/>
        </w:rPr>
        <w:t>的规定</w:t>
      </w:r>
      <w:r>
        <w:rPr>
          <w:rFonts w:ascii="宋体" w:hAnsi="宋体"/>
          <w:sz w:val="24"/>
        </w:rPr>
        <w:t>，</w:t>
      </w:r>
      <w:r>
        <w:rPr>
          <w:rFonts w:hint="eastAsia" w:ascii="宋体" w:hAnsi="宋体"/>
          <w:sz w:val="24"/>
        </w:rPr>
        <w:t>在平等、自愿、协商一致的基础上，</w:t>
      </w:r>
      <w:r>
        <w:rPr>
          <w:rFonts w:ascii="宋体" w:hAnsi="宋体"/>
          <w:sz w:val="24"/>
        </w:rPr>
        <w:t>就甲方</w:t>
      </w:r>
      <w:r>
        <w:rPr>
          <w:rFonts w:hint="eastAsia" w:ascii="宋体" w:hAnsi="宋体"/>
          <w:sz w:val="24"/>
        </w:rPr>
        <w:t>委托</w:t>
      </w:r>
      <w:r>
        <w:rPr>
          <w:rFonts w:ascii="宋体" w:hAnsi="宋体"/>
          <w:sz w:val="24"/>
        </w:rPr>
        <w:t>乙方</w:t>
      </w:r>
      <w:r>
        <w:rPr>
          <w:rFonts w:hint="eastAsia" w:ascii="宋体" w:hAnsi="宋体"/>
          <w:sz w:val="24"/>
        </w:rPr>
        <w:t>维修</w:t>
      </w:r>
      <w:r>
        <w:rPr>
          <w:rFonts w:hint="eastAsia" w:ascii="宋体" w:hAnsi="宋体"/>
          <w:sz w:val="24"/>
          <w:u w:val="single"/>
          <w:lang w:val="en-US" w:eastAsia="zh-CN"/>
        </w:rPr>
        <w:t>广汉第二（雒南）污水处理厂BBR生物转盘</w:t>
      </w:r>
      <w:r>
        <w:rPr>
          <w:rFonts w:hint="eastAsia" w:ascii="宋体" w:hAnsi="宋体"/>
          <w:sz w:val="24"/>
          <w:u w:val="none"/>
        </w:rPr>
        <w:t>维修</w:t>
      </w:r>
      <w:r>
        <w:rPr>
          <w:rFonts w:ascii="宋体" w:hAnsi="宋体"/>
          <w:sz w:val="24"/>
          <w:u w:val="none"/>
        </w:rPr>
        <w:t>事宜</w:t>
      </w:r>
      <w:r>
        <w:rPr>
          <w:rFonts w:ascii="宋体" w:hAnsi="宋体"/>
          <w:sz w:val="24"/>
        </w:rPr>
        <w:t>，签订本合同并共同遵守。</w:t>
      </w:r>
    </w:p>
    <w:p w14:paraId="09D6A0D0">
      <w:pPr>
        <w:spacing w:line="400" w:lineRule="exact"/>
        <w:ind w:firstLine="482" w:firstLineChars="200"/>
        <w:rPr>
          <w:rFonts w:hint="default" w:ascii="宋体" w:hAnsi="宋体" w:eastAsia="宋体"/>
          <w:b/>
          <w:bCs/>
          <w:color w:val="FF0000"/>
          <w:sz w:val="24"/>
          <w:lang w:val="en-US" w:eastAsia="zh-CN"/>
        </w:rPr>
      </w:pPr>
      <w:r>
        <w:rPr>
          <w:rFonts w:ascii="宋体" w:hAnsi="宋体"/>
          <w:b/>
          <w:bCs/>
          <w:sz w:val="24"/>
        </w:rPr>
        <w:t xml:space="preserve">1. </w:t>
      </w:r>
      <w:r>
        <w:rPr>
          <w:rFonts w:hint="eastAsia" w:ascii="宋体" w:hAnsi="宋体"/>
          <w:b/>
          <w:bCs/>
          <w:sz w:val="24"/>
          <w:lang w:val="en-US" w:eastAsia="zh-CN"/>
        </w:rPr>
        <w:t>供货范围及合同价款</w:t>
      </w:r>
    </w:p>
    <w:p w14:paraId="6315D61F">
      <w:pPr>
        <w:spacing w:line="400" w:lineRule="exact"/>
        <w:ind w:firstLine="480" w:firstLineChars="200"/>
        <w:rPr>
          <w:rFonts w:hint="eastAsia" w:ascii="宋体" w:hAnsi="宋体"/>
          <w:sz w:val="24"/>
          <w:lang w:val="en-US" w:eastAsia="zh-CN"/>
        </w:rPr>
      </w:pPr>
      <w:r>
        <w:rPr>
          <w:rFonts w:hint="eastAsia" w:ascii="宋体" w:hAnsi="宋体"/>
          <w:bCs/>
          <w:sz w:val="24"/>
        </w:rPr>
        <w:t>1.1</w:t>
      </w:r>
      <w:r>
        <w:rPr>
          <w:rFonts w:hint="eastAsia" w:ascii="宋体" w:hAnsi="宋体"/>
          <w:sz w:val="24"/>
        </w:rPr>
        <w:t>维修</w:t>
      </w:r>
      <w:r>
        <w:rPr>
          <w:rFonts w:hint="eastAsia" w:ascii="宋体" w:hAnsi="宋体"/>
          <w:sz w:val="24"/>
          <w:lang w:val="en-US" w:eastAsia="zh-CN"/>
        </w:rPr>
        <w:t>内容</w:t>
      </w:r>
    </w:p>
    <w:p w14:paraId="5B251E55">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BBR生物转盘。</w:t>
      </w:r>
    </w:p>
    <w:p w14:paraId="698A415A">
      <w:pPr>
        <w:spacing w:line="360" w:lineRule="exact"/>
        <w:ind w:firstLine="472" w:firstLineChars="196"/>
        <w:rPr>
          <w:rFonts w:ascii="宋体" w:hAnsi="宋体"/>
          <w:b/>
          <w:bCs/>
          <w:sz w:val="24"/>
        </w:rPr>
      </w:pPr>
      <w:r>
        <w:rPr>
          <w:rFonts w:ascii="宋体" w:hAnsi="宋体"/>
          <w:b/>
          <w:bCs/>
          <w:sz w:val="24"/>
        </w:rPr>
        <w:t>2.</w:t>
      </w:r>
      <w:r>
        <w:rPr>
          <w:rFonts w:hint="eastAsia" w:ascii="宋体" w:hAnsi="宋体"/>
          <w:b/>
          <w:bCs/>
          <w:sz w:val="24"/>
        </w:rPr>
        <w:t>维修</w:t>
      </w:r>
      <w:r>
        <w:rPr>
          <w:rFonts w:ascii="宋体" w:hAnsi="宋体"/>
          <w:b/>
          <w:bCs/>
          <w:sz w:val="24"/>
        </w:rPr>
        <w:t>交付时间、地点及方式</w:t>
      </w:r>
    </w:p>
    <w:p w14:paraId="05A5ADC8">
      <w:pPr>
        <w:spacing w:line="360" w:lineRule="exact"/>
        <w:ind w:firstLine="480" w:firstLineChars="200"/>
        <w:rPr>
          <w:rFonts w:ascii="宋体" w:hAnsi="宋体"/>
          <w:sz w:val="24"/>
        </w:rPr>
      </w:pPr>
      <w:r>
        <w:rPr>
          <w:rFonts w:ascii="宋体" w:hAnsi="宋体"/>
          <w:bCs/>
          <w:sz w:val="24"/>
        </w:rPr>
        <w:t>2.1</w:t>
      </w:r>
      <w:r>
        <w:rPr>
          <w:rFonts w:hint="eastAsia" w:ascii="宋体" w:hAnsi="宋体"/>
          <w:bCs/>
          <w:sz w:val="24"/>
        </w:rPr>
        <w:t>维修</w:t>
      </w:r>
      <w:r>
        <w:rPr>
          <w:rFonts w:ascii="宋体" w:hAnsi="宋体"/>
          <w:bCs/>
          <w:sz w:val="24"/>
        </w:rPr>
        <w:t>交付时间</w:t>
      </w:r>
      <w:r>
        <w:rPr>
          <w:rFonts w:ascii="宋体" w:hAnsi="宋体"/>
          <w:sz w:val="24"/>
        </w:rPr>
        <w:t>：</w:t>
      </w:r>
      <w:r>
        <w:rPr>
          <w:rFonts w:hint="eastAsia" w:ascii="宋体" w:hAnsi="宋体" w:cs="宋体"/>
          <w:color w:val="333333"/>
          <w:sz w:val="24"/>
          <w:shd w:val="clear" w:color="auto" w:fill="FFFFFF"/>
        </w:rPr>
        <w:t>自合同签订后</w:t>
      </w:r>
      <w:r>
        <w:rPr>
          <w:rFonts w:hint="eastAsia" w:ascii="宋体" w:hAnsi="宋体" w:cs="宋体"/>
          <w:sz w:val="24"/>
          <w:shd w:val="clear" w:color="auto" w:fill="FFFFFF"/>
          <w:lang w:val="en-US" w:eastAsia="zh-CN"/>
        </w:rPr>
        <w:t>30</w:t>
      </w:r>
      <w:r>
        <w:rPr>
          <w:rFonts w:hint="eastAsia" w:ascii="宋体" w:hAnsi="宋体" w:cs="宋体"/>
          <w:sz w:val="24"/>
          <w:shd w:val="clear" w:color="auto" w:fill="FFFFFF"/>
        </w:rPr>
        <w:t>个日历天</w:t>
      </w:r>
      <w:r>
        <w:rPr>
          <w:rFonts w:hint="eastAsia" w:ascii="宋体" w:hAnsi="宋体" w:cs="宋体"/>
          <w:color w:val="333333"/>
          <w:sz w:val="24"/>
          <w:shd w:val="clear" w:color="auto" w:fill="FFFFFF"/>
        </w:rPr>
        <w:t>内完成维修。</w:t>
      </w:r>
    </w:p>
    <w:p w14:paraId="4B7D0F50">
      <w:pPr>
        <w:pStyle w:val="6"/>
        <w:spacing w:after="0" w:line="360" w:lineRule="exact"/>
        <w:ind w:firstLine="480" w:firstLineChars="200"/>
        <w:rPr>
          <w:rFonts w:hint="default" w:ascii="宋体" w:hAnsi="宋体" w:eastAsia="宋体"/>
          <w:bCs/>
          <w:sz w:val="24"/>
          <w:lang w:val="en-US" w:eastAsia="zh-CN"/>
        </w:rPr>
      </w:pPr>
      <w:r>
        <w:rPr>
          <w:rFonts w:ascii="宋体" w:hAnsi="宋体"/>
          <w:bCs/>
          <w:sz w:val="24"/>
        </w:rPr>
        <w:t>2.2货物</w:t>
      </w:r>
      <w:r>
        <w:rPr>
          <w:rFonts w:hint="eastAsia" w:ascii="宋体" w:hAnsi="宋体"/>
          <w:bCs/>
          <w:sz w:val="24"/>
        </w:rPr>
        <w:t>维修</w:t>
      </w:r>
      <w:r>
        <w:rPr>
          <w:rFonts w:ascii="宋体" w:hAnsi="宋体"/>
          <w:bCs/>
          <w:sz w:val="24"/>
        </w:rPr>
        <w:t>地点：</w:t>
      </w:r>
      <w:r>
        <w:rPr>
          <w:rFonts w:hint="eastAsia" w:ascii="宋体" w:hAnsi="宋体"/>
          <w:sz w:val="24"/>
          <w:u w:val="single"/>
          <w:lang w:val="en-US" w:eastAsia="zh-CN"/>
        </w:rPr>
        <w:t>广汉第二（雒南）污水处理厂</w:t>
      </w:r>
    </w:p>
    <w:p w14:paraId="1B0FE6F5">
      <w:pPr>
        <w:pStyle w:val="6"/>
        <w:spacing w:after="0" w:line="360" w:lineRule="exact"/>
        <w:ind w:firstLine="480" w:firstLineChars="200"/>
        <w:rPr>
          <w:rFonts w:ascii="宋体" w:hAnsi="宋体"/>
          <w:bCs/>
          <w:sz w:val="24"/>
        </w:rPr>
      </w:pPr>
      <w:r>
        <w:rPr>
          <w:rFonts w:ascii="宋体" w:hAnsi="宋体"/>
          <w:bCs/>
          <w:sz w:val="24"/>
        </w:rPr>
        <w:t>2.</w:t>
      </w:r>
      <w:r>
        <w:rPr>
          <w:rFonts w:hint="eastAsia" w:ascii="宋体" w:hAnsi="宋体"/>
          <w:bCs/>
          <w:sz w:val="24"/>
        </w:rPr>
        <w:t>3维修零配件</w:t>
      </w:r>
      <w:r>
        <w:rPr>
          <w:rFonts w:ascii="宋体" w:hAnsi="宋体"/>
          <w:bCs/>
          <w:sz w:val="24"/>
        </w:rPr>
        <w:t>在</w:t>
      </w:r>
      <w:r>
        <w:rPr>
          <w:rFonts w:hint="eastAsia" w:ascii="宋体" w:hAnsi="宋体"/>
          <w:bCs/>
          <w:sz w:val="24"/>
        </w:rPr>
        <w:t>维修完毕验收合格</w:t>
      </w:r>
      <w:r>
        <w:rPr>
          <w:rFonts w:ascii="宋体" w:hAnsi="宋体"/>
          <w:bCs/>
          <w:sz w:val="24"/>
        </w:rPr>
        <w:t>交付甲方前的运输、装卸费等费用及货物损毁、灭失风险由乙方承担；</w:t>
      </w:r>
      <w:r>
        <w:rPr>
          <w:rFonts w:hint="eastAsia" w:ascii="宋体" w:hAnsi="宋体"/>
          <w:bCs/>
          <w:sz w:val="24"/>
        </w:rPr>
        <w:t>维修验收合格</w:t>
      </w:r>
      <w:r>
        <w:rPr>
          <w:rFonts w:ascii="宋体" w:hAnsi="宋体"/>
          <w:bCs/>
          <w:sz w:val="24"/>
        </w:rPr>
        <w:t>交付甲方后的货物损毁、灭失风险由甲方承担。</w:t>
      </w:r>
    </w:p>
    <w:p w14:paraId="4292E65B">
      <w:pPr>
        <w:adjustRightInd w:val="0"/>
        <w:snapToGrid w:val="0"/>
        <w:spacing w:line="360" w:lineRule="exact"/>
        <w:ind w:firstLine="422" w:firstLineChars="200"/>
        <w:rPr>
          <w:rFonts w:hint="eastAsia" w:ascii="宋体" w:hAnsi="宋体"/>
          <w:b/>
          <w:bCs/>
          <w:sz w:val="24"/>
          <w:lang w:val="en-US" w:eastAsia="zh-CN"/>
        </w:rPr>
      </w:pPr>
      <w:r>
        <w:rPr>
          <w:rFonts w:ascii="宋体" w:hAnsi="宋体"/>
          <w:b/>
          <w:bCs/>
        </w:rPr>
        <w:t>3</w:t>
      </w:r>
      <w:r>
        <w:rPr>
          <w:rFonts w:ascii="宋体" w:hAnsi="宋体"/>
          <w:b/>
        </w:rPr>
        <w:t>.</w:t>
      </w:r>
      <w:r>
        <w:rPr>
          <w:rFonts w:hint="eastAsia" w:ascii="宋体" w:hAnsi="宋体"/>
          <w:b/>
          <w:bCs/>
          <w:sz w:val="24"/>
          <w:lang w:val="en-US" w:eastAsia="zh-CN"/>
        </w:rPr>
        <w:t>合同价款的结算方式及支付方式</w:t>
      </w:r>
    </w:p>
    <w:p w14:paraId="0657CCD8">
      <w:pPr>
        <w:pStyle w:val="6"/>
        <w:spacing w:after="0" w:line="360" w:lineRule="exact"/>
        <w:ind w:firstLine="480" w:firstLineChars="200"/>
        <w:rPr>
          <w:rFonts w:hint="eastAsia" w:ascii="宋体" w:hAnsi="宋体" w:eastAsia="宋体" w:cs="Times New Roman"/>
          <w:bCs/>
          <w:sz w:val="24"/>
          <w:u w:val="single"/>
        </w:rPr>
      </w:pPr>
      <w:r>
        <w:rPr>
          <w:rFonts w:hint="eastAsia" w:ascii="宋体" w:hAnsi="宋体" w:eastAsia="宋体" w:cs="Times New Roman"/>
          <w:bCs/>
          <w:sz w:val="24"/>
        </w:rPr>
        <w:t>3.1</w:t>
      </w:r>
      <w:r>
        <w:rPr>
          <w:rFonts w:hint="eastAsia" w:ascii="宋体" w:hAnsi="宋体" w:eastAsia="宋体" w:cs="Times New Roman"/>
          <w:bCs/>
          <w:sz w:val="24"/>
          <w:lang w:val="zh-CN"/>
        </w:rPr>
        <w:t>合同计价方式</w:t>
      </w:r>
      <w:r>
        <w:rPr>
          <w:rFonts w:hint="eastAsia" w:ascii="宋体" w:hAnsi="宋体" w:eastAsia="宋体" w:cs="Times New Roman"/>
          <w:bCs/>
          <w:sz w:val="24"/>
        </w:rPr>
        <w:t>：含税</w:t>
      </w:r>
      <w:r>
        <w:rPr>
          <w:rFonts w:hint="eastAsia" w:ascii="宋体" w:hAnsi="宋体" w:eastAsia="宋体" w:cs="Times New Roman"/>
          <w:bCs/>
          <w:sz w:val="24"/>
          <w:lang w:val="en-US" w:eastAsia="zh-CN"/>
        </w:rPr>
        <w:t>总</w:t>
      </w:r>
      <w:r>
        <w:rPr>
          <w:rFonts w:hint="eastAsia" w:ascii="宋体" w:hAnsi="宋体" w:eastAsia="宋体" w:cs="Times New Roman"/>
          <w:bCs/>
          <w:sz w:val="24"/>
        </w:rPr>
        <w:t>价（小写）：</w:t>
      </w:r>
      <w:r>
        <w:rPr>
          <w:rFonts w:hint="eastAsia" w:ascii="宋体" w:hAnsi="宋体" w:eastAsia="宋体" w:cs="Times New Roman"/>
          <w:bCs/>
          <w:sz w:val="24"/>
          <w:u w:val="single"/>
        </w:rPr>
        <w:t xml:space="preserve"> </w:t>
      </w:r>
      <w:r>
        <w:rPr>
          <w:rFonts w:hint="eastAsia" w:ascii="宋体" w:hAnsi="宋体" w:cs="Times New Roman"/>
          <w:bCs/>
          <w:sz w:val="24"/>
          <w:u w:val="single"/>
          <w:lang w:val="en-US" w:eastAsia="zh-CN"/>
        </w:rPr>
        <w:t xml:space="preserve">    </w:t>
      </w:r>
      <w:r>
        <w:rPr>
          <w:rFonts w:hint="eastAsia" w:ascii="宋体" w:hAnsi="宋体" w:eastAsia="宋体" w:cs="Times New Roman"/>
          <w:bCs/>
          <w:sz w:val="24"/>
          <w:u w:val="single"/>
        </w:rPr>
        <w:t xml:space="preserve"> </w:t>
      </w:r>
      <w:r>
        <w:rPr>
          <w:rFonts w:hint="eastAsia" w:ascii="宋体" w:hAnsi="宋体" w:eastAsia="宋体" w:cs="Times New Roman"/>
          <w:bCs/>
          <w:sz w:val="24"/>
        </w:rPr>
        <w:t>元，大写：</w:t>
      </w:r>
      <w:r>
        <w:rPr>
          <w:rFonts w:hint="eastAsia" w:ascii="宋体" w:hAnsi="宋体" w:cs="Times New Roman"/>
          <w:bCs/>
          <w:sz w:val="24"/>
          <w:u w:val="single"/>
          <w:lang w:val="en-US" w:eastAsia="zh-CN"/>
        </w:rPr>
        <w:t xml:space="preserve">     </w:t>
      </w:r>
      <w:r>
        <w:rPr>
          <w:rFonts w:hint="eastAsia" w:ascii="宋体" w:hAnsi="宋体" w:eastAsia="宋体" w:cs="Times New Roman"/>
          <w:bCs/>
          <w:sz w:val="24"/>
          <w:u w:val="single"/>
        </w:rPr>
        <w:t>。</w:t>
      </w:r>
    </w:p>
    <w:p w14:paraId="315729E5">
      <w:pPr>
        <w:pStyle w:val="6"/>
        <w:spacing w:after="0" w:line="360" w:lineRule="exact"/>
        <w:ind w:firstLine="480" w:firstLineChars="200"/>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3.</w:t>
      </w:r>
      <w:r>
        <w:rPr>
          <w:rFonts w:hint="eastAsia" w:ascii="宋体" w:hAnsi="宋体" w:cs="Times New Roman"/>
          <w:bCs/>
          <w:sz w:val="24"/>
          <w:lang w:val="en-US" w:eastAsia="zh-CN"/>
        </w:rPr>
        <w:t>2价格组成明细：</w:t>
      </w:r>
    </w:p>
    <w:tbl>
      <w:tblPr>
        <w:tblStyle w:val="14"/>
        <w:tblW w:w="48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92"/>
        <w:gridCol w:w="3319"/>
        <w:gridCol w:w="845"/>
        <w:gridCol w:w="880"/>
        <w:gridCol w:w="1251"/>
      </w:tblGrid>
      <w:tr w14:paraId="4A11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7" w:type="dxa"/>
            <w:vAlign w:val="center"/>
          </w:tcPr>
          <w:p w14:paraId="1C0ABD0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序号</w:t>
            </w:r>
          </w:p>
        </w:tc>
        <w:tc>
          <w:tcPr>
            <w:tcW w:w="1238" w:type="dxa"/>
            <w:vAlign w:val="center"/>
          </w:tcPr>
          <w:p w14:paraId="4AAD855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项目</w:t>
            </w:r>
          </w:p>
        </w:tc>
        <w:tc>
          <w:tcPr>
            <w:tcW w:w="3506" w:type="dxa"/>
            <w:vAlign w:val="center"/>
          </w:tcPr>
          <w:p w14:paraId="20B420B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维修内容</w:t>
            </w:r>
          </w:p>
        </w:tc>
        <w:tc>
          <w:tcPr>
            <w:tcW w:w="881" w:type="dxa"/>
            <w:vAlign w:val="center"/>
          </w:tcPr>
          <w:p w14:paraId="6D09F93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单位</w:t>
            </w:r>
          </w:p>
        </w:tc>
        <w:tc>
          <w:tcPr>
            <w:tcW w:w="919" w:type="dxa"/>
            <w:vAlign w:val="center"/>
          </w:tcPr>
          <w:p w14:paraId="5C60638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数量</w:t>
            </w:r>
          </w:p>
        </w:tc>
        <w:tc>
          <w:tcPr>
            <w:tcW w:w="1325" w:type="dxa"/>
            <w:vAlign w:val="center"/>
          </w:tcPr>
          <w:p w14:paraId="0F122FA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bCs/>
                <w:kern w:val="2"/>
                <w:sz w:val="24"/>
                <w:lang w:val="en-US" w:eastAsia="zh-CN" w:bidi="ar-SA"/>
              </w:rPr>
            </w:pPr>
            <w:r>
              <w:rPr>
                <w:rFonts w:hint="eastAsia" w:ascii="宋体" w:hAnsi="宋体" w:eastAsia="宋体" w:cs="Times New Roman"/>
                <w:bCs/>
                <w:kern w:val="2"/>
                <w:sz w:val="24"/>
                <w:lang w:val="en-US" w:eastAsia="zh-CN" w:bidi="ar-SA"/>
              </w:rPr>
              <w:t>金额</w:t>
            </w:r>
          </w:p>
        </w:tc>
      </w:tr>
      <w:tr w14:paraId="48B5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7" w:type="dxa"/>
            <w:vAlign w:val="center"/>
          </w:tcPr>
          <w:p w14:paraId="2FFF3FB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1</w:t>
            </w:r>
          </w:p>
        </w:tc>
        <w:tc>
          <w:tcPr>
            <w:tcW w:w="1238" w:type="dxa"/>
            <w:vAlign w:val="center"/>
          </w:tcPr>
          <w:p w14:paraId="43A842A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中心轴</w:t>
            </w:r>
          </w:p>
          <w:p w14:paraId="25B48D8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更换</w:t>
            </w:r>
          </w:p>
        </w:tc>
        <w:tc>
          <w:tcPr>
            <w:tcW w:w="3506" w:type="dxa"/>
            <w:vAlign w:val="center"/>
          </w:tcPr>
          <w:p w14:paraId="562E822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更换定制高强度一体成型中心轴（总长4140mm，具体参数详见附件），材质：高强度碳钢实心轴，强度：承重不少于15吨。</w:t>
            </w:r>
          </w:p>
        </w:tc>
        <w:tc>
          <w:tcPr>
            <w:tcW w:w="881" w:type="dxa"/>
            <w:vAlign w:val="center"/>
          </w:tcPr>
          <w:p w14:paraId="056A9BC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支</w:t>
            </w:r>
          </w:p>
        </w:tc>
        <w:tc>
          <w:tcPr>
            <w:tcW w:w="919" w:type="dxa"/>
            <w:vAlign w:val="center"/>
          </w:tcPr>
          <w:p w14:paraId="738B120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1</w:t>
            </w:r>
          </w:p>
        </w:tc>
        <w:tc>
          <w:tcPr>
            <w:tcW w:w="1325" w:type="dxa"/>
            <w:vAlign w:val="center"/>
          </w:tcPr>
          <w:p w14:paraId="15FD799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p>
        </w:tc>
      </w:tr>
      <w:tr w14:paraId="6F5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7" w:type="dxa"/>
            <w:vAlign w:val="center"/>
          </w:tcPr>
          <w:p w14:paraId="4B76C9F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2</w:t>
            </w:r>
          </w:p>
        </w:tc>
        <w:tc>
          <w:tcPr>
            <w:tcW w:w="1238" w:type="dxa"/>
            <w:vAlign w:val="center"/>
          </w:tcPr>
          <w:p w14:paraId="1F9F810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轴承更换</w:t>
            </w:r>
          </w:p>
        </w:tc>
        <w:tc>
          <w:tcPr>
            <w:tcW w:w="3506" w:type="dxa"/>
            <w:vAlign w:val="center"/>
          </w:tcPr>
          <w:p w14:paraId="4240869B">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匹配中心轴，型号（P233），材质：高强度碳钢</w:t>
            </w:r>
          </w:p>
        </w:tc>
        <w:tc>
          <w:tcPr>
            <w:tcW w:w="881" w:type="dxa"/>
            <w:vAlign w:val="center"/>
          </w:tcPr>
          <w:p w14:paraId="44F9ED1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套</w:t>
            </w:r>
          </w:p>
        </w:tc>
        <w:tc>
          <w:tcPr>
            <w:tcW w:w="919" w:type="dxa"/>
            <w:vAlign w:val="center"/>
          </w:tcPr>
          <w:p w14:paraId="15111BC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2</w:t>
            </w:r>
          </w:p>
        </w:tc>
        <w:tc>
          <w:tcPr>
            <w:tcW w:w="1325" w:type="dxa"/>
            <w:vAlign w:val="center"/>
          </w:tcPr>
          <w:p w14:paraId="7EA7821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p>
        </w:tc>
      </w:tr>
      <w:tr w14:paraId="4B9A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7" w:type="dxa"/>
            <w:vAlign w:val="center"/>
          </w:tcPr>
          <w:p w14:paraId="69D637D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3</w:t>
            </w:r>
          </w:p>
        </w:tc>
        <w:tc>
          <w:tcPr>
            <w:tcW w:w="1238" w:type="dxa"/>
            <w:vAlign w:val="center"/>
          </w:tcPr>
          <w:p w14:paraId="0591F665">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主体清洗</w:t>
            </w:r>
          </w:p>
        </w:tc>
        <w:tc>
          <w:tcPr>
            <w:tcW w:w="3506" w:type="dxa"/>
            <w:vAlign w:val="center"/>
          </w:tcPr>
          <w:p w14:paraId="59D811D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转盘直径2米，PVDC材质，型号BBR20LT。旋转体清洗，含转运，拆卸，清洗，安装，调试，含冲洗工具，人工等。</w:t>
            </w:r>
          </w:p>
        </w:tc>
        <w:tc>
          <w:tcPr>
            <w:tcW w:w="881" w:type="dxa"/>
            <w:vAlign w:val="center"/>
          </w:tcPr>
          <w:p w14:paraId="7064AE0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组</w:t>
            </w:r>
          </w:p>
        </w:tc>
        <w:tc>
          <w:tcPr>
            <w:tcW w:w="919" w:type="dxa"/>
            <w:vAlign w:val="center"/>
          </w:tcPr>
          <w:p w14:paraId="141EC1E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30</w:t>
            </w:r>
          </w:p>
        </w:tc>
        <w:tc>
          <w:tcPr>
            <w:tcW w:w="1325" w:type="dxa"/>
            <w:vAlign w:val="center"/>
          </w:tcPr>
          <w:p w14:paraId="7A856921">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p>
        </w:tc>
      </w:tr>
      <w:tr w14:paraId="13BA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7" w:type="dxa"/>
            <w:vAlign w:val="center"/>
          </w:tcPr>
          <w:p w14:paraId="3F984377">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4</w:t>
            </w:r>
          </w:p>
        </w:tc>
        <w:tc>
          <w:tcPr>
            <w:tcW w:w="1238" w:type="dxa"/>
            <w:vAlign w:val="center"/>
          </w:tcPr>
          <w:p w14:paraId="63B45DF4">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安装、调试、维修及配件</w:t>
            </w:r>
          </w:p>
        </w:tc>
        <w:tc>
          <w:tcPr>
            <w:tcW w:w="3506" w:type="dxa"/>
            <w:vAlign w:val="center"/>
          </w:tcPr>
          <w:p w14:paraId="55016A26">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中心轴的运输、卸货，生物转盘维修完成后吊入、安装，调试，固定件维修及其他配件，含吊车，人工及施工工具等</w:t>
            </w:r>
          </w:p>
        </w:tc>
        <w:tc>
          <w:tcPr>
            <w:tcW w:w="881" w:type="dxa"/>
            <w:vAlign w:val="center"/>
          </w:tcPr>
          <w:p w14:paraId="4323C8C8">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项</w:t>
            </w:r>
          </w:p>
        </w:tc>
        <w:tc>
          <w:tcPr>
            <w:tcW w:w="919" w:type="dxa"/>
            <w:vAlign w:val="center"/>
          </w:tcPr>
          <w:p w14:paraId="46CCFB6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r>
              <w:rPr>
                <w:rFonts w:hint="default" w:ascii="宋体" w:hAnsi="宋体" w:eastAsia="宋体" w:cs="Times New Roman"/>
                <w:bCs/>
                <w:kern w:val="2"/>
                <w:sz w:val="24"/>
                <w:lang w:val="en-US" w:eastAsia="zh-CN" w:bidi="ar-SA"/>
              </w:rPr>
              <w:t>1</w:t>
            </w:r>
          </w:p>
        </w:tc>
        <w:tc>
          <w:tcPr>
            <w:tcW w:w="1325" w:type="dxa"/>
            <w:vAlign w:val="center"/>
          </w:tcPr>
          <w:p w14:paraId="795A464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p>
        </w:tc>
      </w:tr>
      <w:tr w14:paraId="4573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7" w:type="dxa"/>
            <w:vAlign w:val="center"/>
          </w:tcPr>
          <w:p w14:paraId="75C631F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bCs/>
                <w:kern w:val="2"/>
                <w:sz w:val="24"/>
                <w:lang w:val="en-US" w:eastAsia="zh-CN" w:bidi="ar-SA"/>
              </w:rPr>
            </w:pPr>
            <w:r>
              <w:rPr>
                <w:rFonts w:hint="eastAsia" w:ascii="宋体" w:hAnsi="宋体" w:eastAsia="宋体" w:cs="Times New Roman"/>
                <w:bCs/>
                <w:kern w:val="2"/>
                <w:sz w:val="24"/>
                <w:lang w:val="en-US" w:eastAsia="zh-CN" w:bidi="ar-SA"/>
              </w:rPr>
              <w:t>5</w:t>
            </w:r>
          </w:p>
        </w:tc>
        <w:tc>
          <w:tcPr>
            <w:tcW w:w="1238" w:type="dxa"/>
            <w:vAlign w:val="center"/>
          </w:tcPr>
          <w:p w14:paraId="29C60D6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bCs/>
                <w:kern w:val="2"/>
                <w:sz w:val="24"/>
                <w:lang w:val="en-US" w:eastAsia="zh-CN" w:bidi="ar-SA"/>
              </w:rPr>
            </w:pPr>
            <w:r>
              <w:rPr>
                <w:rFonts w:hint="eastAsia" w:ascii="宋体" w:hAnsi="宋体" w:eastAsia="宋体" w:cs="Times New Roman"/>
                <w:bCs/>
                <w:kern w:val="2"/>
                <w:sz w:val="24"/>
                <w:lang w:val="en-US" w:eastAsia="zh-CN" w:bidi="ar-SA"/>
              </w:rPr>
              <w:t>合计</w:t>
            </w:r>
          </w:p>
        </w:tc>
        <w:tc>
          <w:tcPr>
            <w:tcW w:w="6631" w:type="dxa"/>
            <w:gridSpan w:val="4"/>
            <w:vAlign w:val="center"/>
          </w:tcPr>
          <w:p w14:paraId="159413EC">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宋体" w:hAnsi="宋体" w:eastAsia="宋体" w:cs="Times New Roman"/>
                <w:bCs/>
                <w:kern w:val="2"/>
                <w:sz w:val="24"/>
                <w:lang w:val="en-US" w:eastAsia="zh-CN" w:bidi="ar-SA"/>
              </w:rPr>
            </w:pPr>
          </w:p>
        </w:tc>
      </w:tr>
    </w:tbl>
    <w:p w14:paraId="5FE180C2">
      <w:pPr>
        <w:pStyle w:val="6"/>
        <w:spacing w:after="0" w:line="360" w:lineRule="exact"/>
        <w:ind w:firstLine="480" w:firstLineChars="200"/>
        <w:rPr>
          <w:rFonts w:hint="eastAsia" w:ascii="宋体" w:hAnsi="宋体" w:eastAsia="宋体" w:cs="Times New Roman"/>
          <w:bCs/>
          <w:color w:val="auto"/>
          <w:sz w:val="24"/>
          <w:lang w:val="zh-CN" w:eastAsia="zh-CN"/>
        </w:rPr>
      </w:pPr>
      <w:r>
        <w:rPr>
          <w:rFonts w:hint="eastAsia" w:ascii="宋体" w:hAnsi="宋体" w:cs="宋体"/>
          <w:color w:val="auto"/>
          <w:kern w:val="0"/>
          <w:sz w:val="24"/>
        </w:rPr>
        <w:t>注价格构成说明：上述价格</w:t>
      </w:r>
      <w:r>
        <w:rPr>
          <w:rFonts w:hint="eastAsia" w:ascii="宋体" w:hAnsi="宋体" w:cs="宋体"/>
          <w:color w:val="auto"/>
          <w:kern w:val="0"/>
          <w:sz w:val="24"/>
          <w:lang w:val="en-US" w:eastAsia="zh-CN"/>
        </w:rPr>
        <w:t>包括但不限于运输费、安装费、人工费、吊车费、清洗费、税费、利润、保险等一切费用。</w:t>
      </w:r>
    </w:p>
    <w:p w14:paraId="2FBAF11B">
      <w:pPr>
        <w:pStyle w:val="6"/>
        <w:spacing w:after="0" w:line="360" w:lineRule="exact"/>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3.</w:t>
      </w:r>
      <w:r>
        <w:rPr>
          <w:rFonts w:hint="eastAsia" w:ascii="宋体" w:hAnsi="宋体" w:cs="Times New Roman"/>
          <w:bCs/>
          <w:color w:val="auto"/>
          <w:sz w:val="24"/>
          <w:lang w:val="en-US" w:eastAsia="zh-CN"/>
        </w:rPr>
        <w:t>3</w:t>
      </w:r>
      <w:r>
        <w:rPr>
          <w:rFonts w:hint="eastAsia" w:ascii="宋体" w:hAnsi="宋体" w:eastAsia="宋体" w:cs="Times New Roman"/>
          <w:bCs/>
          <w:color w:val="auto"/>
          <w:sz w:val="24"/>
        </w:rPr>
        <w:t>结算方式：</w:t>
      </w:r>
    </w:p>
    <w:p w14:paraId="44EC6B11">
      <w:pPr>
        <w:pStyle w:val="5"/>
        <w:numPr>
          <w:ilvl w:val="0"/>
          <w:numId w:val="0"/>
        </w:numPr>
        <w:ind w:firstLine="600" w:firstLineChars="250"/>
        <w:rPr>
          <w:rFonts w:ascii="宋体" w:hAnsi="宋体"/>
          <w:bCs/>
          <w:color w:val="auto"/>
          <w:sz w:val="24"/>
        </w:rPr>
      </w:pPr>
      <w:r>
        <w:rPr>
          <w:rFonts w:hint="eastAsia" w:ascii="宋体" w:hAnsi="宋体" w:eastAsia="宋体" w:cs="Times New Roman"/>
          <w:bCs/>
          <w:color w:val="auto"/>
          <w:kern w:val="2"/>
          <w:sz w:val="24"/>
          <w:lang w:val="en-US" w:eastAsia="zh-CN" w:bidi="ar-SA"/>
        </w:rPr>
        <w:t>（1）</w:t>
      </w:r>
      <w:r>
        <w:rPr>
          <w:rFonts w:hint="eastAsia" w:ascii="宋体" w:hAnsi="宋体"/>
          <w:bCs/>
          <w:color w:val="auto"/>
          <w:sz w:val="24"/>
          <w:lang w:val="en-US" w:eastAsia="zh-CN"/>
        </w:rPr>
        <w:t>维修完成经验收合格后，乙方开具全额增值税专用发票，甲方支付合同总金额95%</w:t>
      </w:r>
      <w:r>
        <w:rPr>
          <w:rFonts w:hint="eastAsia" w:ascii="宋体" w:hAnsi="宋体"/>
          <w:bCs/>
          <w:color w:val="auto"/>
          <w:sz w:val="24"/>
        </w:rPr>
        <w:t>。</w:t>
      </w:r>
    </w:p>
    <w:p w14:paraId="5E7B6F50">
      <w:pPr>
        <w:pStyle w:val="6"/>
        <w:spacing w:after="0" w:line="360" w:lineRule="exact"/>
        <w:ind w:firstLine="600" w:firstLineChars="25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）余5%作为质保金，质保金在维修完成验收合格之日起满</w:t>
      </w:r>
      <w:r>
        <w:rPr>
          <w:rFonts w:hint="eastAsia" w:ascii="宋体" w:hAnsi="宋体"/>
          <w:bCs/>
          <w:color w:val="auto"/>
          <w:sz w:val="24"/>
          <w:u w:val="single"/>
        </w:rPr>
        <w:t xml:space="preserve"> 6 </w:t>
      </w:r>
      <w:r>
        <w:rPr>
          <w:rFonts w:hint="eastAsia" w:ascii="宋体" w:hAnsi="宋体"/>
          <w:bCs/>
          <w:color w:val="auto"/>
          <w:sz w:val="24"/>
        </w:rPr>
        <w:t>个月经甲方核验无质量问题后，无息结清。</w:t>
      </w:r>
    </w:p>
    <w:p w14:paraId="638AF9F9">
      <w:pPr>
        <w:spacing w:line="360" w:lineRule="exact"/>
        <w:ind w:firstLine="482" w:firstLineChars="200"/>
        <w:rPr>
          <w:rFonts w:ascii="宋体" w:hAnsi="宋体"/>
          <w:b/>
          <w:bCs/>
          <w:color w:val="auto"/>
          <w:sz w:val="24"/>
        </w:rPr>
      </w:pPr>
      <w:r>
        <w:rPr>
          <w:rFonts w:ascii="宋体" w:hAnsi="宋体"/>
          <w:b/>
          <w:bCs/>
          <w:color w:val="auto"/>
          <w:sz w:val="24"/>
        </w:rPr>
        <w:t>4.货物验收</w:t>
      </w:r>
    </w:p>
    <w:p w14:paraId="39BBE3A9">
      <w:pPr>
        <w:spacing w:line="360" w:lineRule="exact"/>
        <w:ind w:firstLine="464" w:firstLineChars="200"/>
        <w:rPr>
          <w:rFonts w:ascii="宋体" w:hAnsi="宋体"/>
          <w:sz w:val="24"/>
        </w:rPr>
      </w:pPr>
      <w:r>
        <w:rPr>
          <w:rFonts w:hint="eastAsia" w:ascii="宋体" w:hAnsi="宋体"/>
          <w:bCs/>
          <w:spacing w:val="-4"/>
          <w:sz w:val="24"/>
          <w:lang w:val="en-US" w:eastAsia="zh-CN"/>
        </w:rPr>
        <w:t>甲方在</w:t>
      </w:r>
      <w:r>
        <w:rPr>
          <w:rFonts w:ascii="宋体" w:hAnsi="宋体"/>
          <w:spacing w:val="-4"/>
          <w:sz w:val="24"/>
        </w:rPr>
        <w:t>乙方</w:t>
      </w:r>
      <w:r>
        <w:rPr>
          <w:rFonts w:hint="eastAsia" w:ascii="宋体" w:hAnsi="宋体"/>
          <w:spacing w:val="-4"/>
          <w:sz w:val="24"/>
          <w:lang w:val="en-US" w:eastAsia="zh-CN"/>
        </w:rPr>
        <w:t>对BBR生物转盘维修并</w:t>
      </w:r>
      <w:r>
        <w:rPr>
          <w:rFonts w:hint="eastAsia" w:ascii="宋体" w:hAnsi="宋体"/>
          <w:spacing w:val="-4"/>
          <w:sz w:val="24"/>
        </w:rPr>
        <w:t>安装</w:t>
      </w:r>
      <w:r>
        <w:rPr>
          <w:rFonts w:hint="eastAsia" w:ascii="宋体" w:hAnsi="宋体"/>
          <w:spacing w:val="-4"/>
          <w:sz w:val="24"/>
          <w:lang w:val="en-US" w:eastAsia="zh-CN"/>
        </w:rPr>
        <w:t>完成</w:t>
      </w:r>
      <w:r>
        <w:rPr>
          <w:rFonts w:hint="eastAsia" w:ascii="宋体" w:hAnsi="宋体"/>
          <w:spacing w:val="-4"/>
          <w:sz w:val="24"/>
        </w:rPr>
        <w:t>后</w:t>
      </w:r>
      <w:r>
        <w:rPr>
          <w:rFonts w:hint="eastAsia" w:ascii="宋体" w:hAnsi="宋体"/>
          <w:spacing w:val="-4"/>
          <w:sz w:val="24"/>
          <w:lang w:val="en-US" w:eastAsia="zh-CN"/>
        </w:rPr>
        <w:t>10</w:t>
      </w:r>
      <w:r>
        <w:rPr>
          <w:rFonts w:hint="eastAsia" w:ascii="宋体" w:hAnsi="宋体"/>
          <w:spacing w:val="-4"/>
          <w:sz w:val="24"/>
        </w:rPr>
        <w:t>个工作日内</w:t>
      </w:r>
      <w:r>
        <w:rPr>
          <w:rFonts w:ascii="宋体" w:hAnsi="宋体"/>
          <w:spacing w:val="-4"/>
          <w:sz w:val="24"/>
        </w:rPr>
        <w:t>进行验收</w:t>
      </w:r>
      <w:r>
        <w:rPr>
          <w:rFonts w:hint="eastAsia" w:ascii="宋体" w:hAnsi="宋体"/>
          <w:spacing w:val="-4"/>
          <w:sz w:val="24"/>
        </w:rPr>
        <w:t>。</w:t>
      </w:r>
    </w:p>
    <w:p w14:paraId="168C6251">
      <w:pPr>
        <w:spacing w:line="360" w:lineRule="exact"/>
        <w:ind w:firstLine="482" w:firstLineChars="200"/>
        <w:rPr>
          <w:rFonts w:ascii="宋体" w:hAnsi="宋体"/>
          <w:b/>
          <w:bCs/>
          <w:sz w:val="24"/>
        </w:rPr>
      </w:pPr>
      <w:r>
        <w:rPr>
          <w:rFonts w:ascii="宋体" w:hAnsi="宋体"/>
          <w:b/>
          <w:bCs/>
          <w:sz w:val="24"/>
        </w:rPr>
        <w:t>5.货物包装</w:t>
      </w:r>
    </w:p>
    <w:p w14:paraId="1C809904">
      <w:pPr>
        <w:spacing w:line="360" w:lineRule="exact"/>
        <w:ind w:firstLine="480" w:firstLineChars="200"/>
        <w:rPr>
          <w:rFonts w:ascii="宋体" w:hAnsi="宋体"/>
          <w:sz w:val="24"/>
        </w:rPr>
      </w:pPr>
      <w:r>
        <w:rPr>
          <w:rFonts w:ascii="宋体" w:hAnsi="宋体"/>
          <w:bCs/>
          <w:sz w:val="24"/>
        </w:rPr>
        <w:t>货物的包装方式和要求：</w:t>
      </w:r>
      <w:r>
        <w:rPr>
          <w:rFonts w:hint="eastAsia" w:ascii="宋体" w:hAnsi="宋体"/>
          <w:bCs/>
          <w:sz w:val="24"/>
        </w:rPr>
        <w:t>按国家相关要求执行。</w:t>
      </w:r>
    </w:p>
    <w:p w14:paraId="04B6801B">
      <w:pPr>
        <w:spacing w:line="360" w:lineRule="exact"/>
        <w:ind w:firstLine="482" w:firstLineChars="200"/>
        <w:rPr>
          <w:rFonts w:ascii="宋体" w:hAnsi="宋体"/>
          <w:b/>
          <w:sz w:val="24"/>
        </w:rPr>
      </w:pPr>
      <w:r>
        <w:rPr>
          <w:rFonts w:ascii="宋体" w:hAnsi="宋体"/>
          <w:b/>
          <w:sz w:val="24"/>
        </w:rPr>
        <w:t>6.</w:t>
      </w:r>
      <w:r>
        <w:rPr>
          <w:rFonts w:ascii="宋体" w:hAnsi="宋体"/>
          <w:b/>
          <w:bCs/>
          <w:sz w:val="24"/>
        </w:rPr>
        <w:t>货物</w:t>
      </w:r>
      <w:r>
        <w:rPr>
          <w:rFonts w:ascii="宋体" w:hAnsi="宋体"/>
          <w:b/>
          <w:sz w:val="24"/>
        </w:rPr>
        <w:t>质保期</w:t>
      </w:r>
      <w:r>
        <w:rPr>
          <w:rFonts w:hint="eastAsia" w:ascii="宋体" w:hAnsi="宋体"/>
          <w:b/>
          <w:sz w:val="24"/>
        </w:rPr>
        <w:t>及</w:t>
      </w:r>
      <w:r>
        <w:rPr>
          <w:rFonts w:ascii="宋体" w:hAnsi="宋体"/>
          <w:b/>
          <w:sz w:val="24"/>
        </w:rPr>
        <w:t>乙方对货物质量保证</w:t>
      </w:r>
      <w:r>
        <w:rPr>
          <w:rFonts w:hint="eastAsia" w:ascii="宋体" w:hAnsi="宋体"/>
          <w:b/>
          <w:sz w:val="24"/>
        </w:rPr>
        <w:t>的</w:t>
      </w:r>
      <w:r>
        <w:rPr>
          <w:rFonts w:ascii="宋体" w:hAnsi="宋体"/>
          <w:b/>
          <w:sz w:val="24"/>
        </w:rPr>
        <w:t>承诺</w:t>
      </w:r>
    </w:p>
    <w:p w14:paraId="33A1F9EA">
      <w:pPr>
        <w:spacing w:line="400" w:lineRule="exact"/>
        <w:ind w:firstLine="480" w:firstLineChars="200"/>
        <w:rPr>
          <w:rFonts w:ascii="宋体" w:hAnsi="宋体"/>
          <w:sz w:val="24"/>
        </w:rPr>
      </w:pPr>
      <w:r>
        <w:rPr>
          <w:rFonts w:ascii="宋体" w:hAnsi="宋体"/>
          <w:sz w:val="24"/>
        </w:rPr>
        <w:t>6.1本合同项下</w:t>
      </w:r>
      <w:r>
        <w:rPr>
          <w:rFonts w:hint="eastAsia" w:ascii="宋体" w:hAnsi="宋体"/>
          <w:sz w:val="24"/>
        </w:rPr>
        <w:t>设备整体</w:t>
      </w:r>
      <w:r>
        <w:rPr>
          <w:rFonts w:ascii="宋体" w:hAnsi="宋体"/>
          <w:sz w:val="24"/>
        </w:rPr>
        <w:t>质保期为</w:t>
      </w:r>
      <w:r>
        <w:rPr>
          <w:rFonts w:hint="eastAsia" w:ascii="宋体" w:hAnsi="宋体"/>
          <w:sz w:val="24"/>
        </w:rPr>
        <w:t>：质保期为6个月，自</w:t>
      </w:r>
      <w:r>
        <w:rPr>
          <w:rFonts w:hint="eastAsia" w:ascii="宋体" w:hAnsi="宋体"/>
          <w:bCs/>
          <w:color w:val="000000"/>
          <w:sz w:val="24"/>
        </w:rPr>
        <w:t>验收合格之日</w:t>
      </w:r>
      <w:r>
        <w:rPr>
          <w:rFonts w:hint="eastAsia" w:ascii="宋体" w:hAnsi="宋体"/>
          <w:sz w:val="24"/>
        </w:rPr>
        <w:t>起算。</w:t>
      </w:r>
    </w:p>
    <w:p w14:paraId="0BCC30E8">
      <w:pPr>
        <w:spacing w:line="400" w:lineRule="exact"/>
        <w:ind w:firstLine="480" w:firstLineChars="200"/>
        <w:rPr>
          <w:rFonts w:ascii="宋体" w:hAnsi="宋体"/>
          <w:sz w:val="24"/>
        </w:rPr>
      </w:pPr>
      <w:r>
        <w:rPr>
          <w:rFonts w:ascii="宋体" w:hAnsi="宋体"/>
          <w:sz w:val="24"/>
        </w:rPr>
        <w:t>6.2</w:t>
      </w:r>
      <w:r>
        <w:rPr>
          <w:rFonts w:ascii="宋体" w:hAnsi="宋体"/>
          <w:spacing w:val="-6"/>
          <w:sz w:val="24"/>
        </w:rPr>
        <w:t>乙方对质量保证承诺</w:t>
      </w:r>
      <w:r>
        <w:rPr>
          <w:rFonts w:hint="eastAsia" w:ascii="宋体" w:hAnsi="宋体"/>
          <w:spacing w:val="-6"/>
          <w:sz w:val="24"/>
        </w:rPr>
        <w:t>：乙方承担所维修</w:t>
      </w:r>
      <w:r>
        <w:rPr>
          <w:rFonts w:hint="eastAsia" w:ascii="宋体" w:hAnsi="宋体"/>
          <w:spacing w:val="-6"/>
          <w:sz w:val="24"/>
          <w:lang w:val="en-US" w:eastAsia="zh-CN"/>
        </w:rPr>
        <w:t>BBR生物转盘</w:t>
      </w:r>
      <w:r>
        <w:rPr>
          <w:rFonts w:hint="eastAsia" w:ascii="宋体" w:hAnsi="宋体"/>
          <w:spacing w:val="-6"/>
          <w:sz w:val="24"/>
        </w:rPr>
        <w:t>的质量缺陷责任</w:t>
      </w:r>
      <w:r>
        <w:rPr>
          <w:rFonts w:ascii="宋体" w:hAnsi="宋体"/>
          <w:spacing w:val="-6"/>
          <w:sz w:val="24"/>
        </w:rPr>
        <w:t>，</w:t>
      </w:r>
      <w:r>
        <w:rPr>
          <w:rFonts w:hint="eastAsia" w:ascii="宋体" w:hAnsi="宋体"/>
          <w:spacing w:val="-6"/>
          <w:sz w:val="24"/>
        </w:rPr>
        <w:t>如本次维修的</w:t>
      </w:r>
      <w:r>
        <w:rPr>
          <w:rFonts w:hint="eastAsia" w:ascii="宋体" w:hAnsi="宋体"/>
          <w:spacing w:val="-6"/>
          <w:sz w:val="24"/>
          <w:lang w:val="en-US" w:eastAsia="zh-CN"/>
        </w:rPr>
        <w:t>BBR生物转盘</w:t>
      </w:r>
      <w:r>
        <w:rPr>
          <w:rFonts w:hint="eastAsia" w:ascii="宋体" w:hAnsi="宋体"/>
          <w:spacing w:val="-6"/>
          <w:sz w:val="24"/>
        </w:rPr>
        <w:t>存在质量缺陷或因缺陷发生故障</w:t>
      </w:r>
      <w:r>
        <w:rPr>
          <w:rFonts w:ascii="宋体" w:hAnsi="宋体"/>
          <w:spacing w:val="-6"/>
          <w:sz w:val="24"/>
        </w:rPr>
        <w:t>，</w:t>
      </w:r>
      <w:r>
        <w:rPr>
          <w:rFonts w:hint="eastAsia" w:ascii="宋体" w:hAnsi="宋体"/>
          <w:spacing w:val="-6"/>
          <w:sz w:val="24"/>
        </w:rPr>
        <w:t>乙方负责更换或维修。</w:t>
      </w:r>
    </w:p>
    <w:p w14:paraId="79475CB4">
      <w:pPr>
        <w:spacing w:line="400" w:lineRule="exact"/>
        <w:ind w:firstLine="472" w:firstLineChars="196"/>
        <w:rPr>
          <w:rFonts w:ascii="宋体" w:hAnsi="宋体"/>
          <w:b/>
          <w:sz w:val="24"/>
        </w:rPr>
      </w:pPr>
      <w:r>
        <w:rPr>
          <w:rFonts w:ascii="宋体" w:hAnsi="宋体"/>
          <w:b/>
          <w:sz w:val="24"/>
        </w:rPr>
        <w:t>7. 售后服务</w:t>
      </w:r>
    </w:p>
    <w:p w14:paraId="328C28A9">
      <w:pPr>
        <w:spacing w:line="400" w:lineRule="exact"/>
        <w:ind w:firstLine="464" w:firstLineChars="200"/>
        <w:rPr>
          <w:rFonts w:ascii="宋体" w:hAnsi="宋体"/>
          <w:spacing w:val="-4"/>
          <w:sz w:val="24"/>
        </w:rPr>
      </w:pPr>
      <w:r>
        <w:rPr>
          <w:rFonts w:ascii="宋体" w:hAnsi="宋体"/>
          <w:bCs/>
          <w:spacing w:val="-4"/>
          <w:sz w:val="24"/>
        </w:rPr>
        <w:t>7.1乙方应</w:t>
      </w:r>
      <w:r>
        <w:rPr>
          <w:rFonts w:ascii="宋体" w:hAnsi="宋体"/>
          <w:spacing w:val="-4"/>
          <w:sz w:val="24"/>
        </w:rPr>
        <w:t>按照国家有关法律规定及乙方的售后服务承诺，对交付甲方的</w:t>
      </w:r>
      <w:r>
        <w:rPr>
          <w:rFonts w:hint="eastAsia" w:ascii="宋体" w:hAnsi="宋体" w:cs="宋体"/>
          <w:kern w:val="0"/>
          <w:sz w:val="24"/>
          <w:lang w:val="en-US" w:eastAsia="zh-CN"/>
        </w:rPr>
        <w:t>BBR生物转盘</w:t>
      </w:r>
      <w:r>
        <w:rPr>
          <w:rFonts w:ascii="宋体" w:hAnsi="宋体"/>
          <w:spacing w:val="-4"/>
          <w:sz w:val="24"/>
        </w:rPr>
        <w:t>提供售后服务。</w:t>
      </w:r>
    </w:p>
    <w:p w14:paraId="60707F3C">
      <w:pPr>
        <w:spacing w:line="400" w:lineRule="exact"/>
        <w:ind w:firstLine="482" w:firstLineChars="200"/>
        <w:rPr>
          <w:rFonts w:ascii="宋体" w:hAnsi="宋体"/>
          <w:b/>
          <w:bCs/>
          <w:sz w:val="24"/>
        </w:rPr>
      </w:pPr>
      <w:r>
        <w:rPr>
          <w:rFonts w:ascii="宋体" w:hAnsi="宋体"/>
          <w:b/>
          <w:bCs/>
          <w:sz w:val="24"/>
        </w:rPr>
        <w:t>8. 甲方权利义务</w:t>
      </w:r>
    </w:p>
    <w:p w14:paraId="56D12745">
      <w:pPr>
        <w:spacing w:line="400" w:lineRule="exact"/>
        <w:ind w:firstLine="480" w:firstLineChars="200"/>
        <w:rPr>
          <w:rFonts w:ascii="宋体" w:hAnsi="宋体"/>
          <w:sz w:val="24"/>
        </w:rPr>
      </w:pPr>
      <w:r>
        <w:rPr>
          <w:rFonts w:ascii="宋体" w:hAnsi="宋体"/>
          <w:bCs/>
          <w:sz w:val="24"/>
        </w:rPr>
        <w:t>8.</w:t>
      </w:r>
      <w:r>
        <w:rPr>
          <w:rFonts w:hint="eastAsia" w:ascii="宋体" w:hAnsi="宋体"/>
          <w:bCs/>
          <w:sz w:val="24"/>
        </w:rPr>
        <w:t>1</w:t>
      </w:r>
      <w:r>
        <w:rPr>
          <w:rFonts w:ascii="宋体" w:hAnsi="宋体"/>
          <w:sz w:val="24"/>
        </w:rPr>
        <w:t>甲方有权要求乙方交付符合本合同约定的</w:t>
      </w:r>
      <w:r>
        <w:rPr>
          <w:rFonts w:hint="eastAsia" w:ascii="宋体" w:hAnsi="宋体"/>
          <w:sz w:val="24"/>
          <w:lang w:val="en-US" w:eastAsia="zh-CN"/>
        </w:rPr>
        <w:t>BBR生物转盘</w:t>
      </w:r>
      <w:r>
        <w:rPr>
          <w:rFonts w:ascii="宋体" w:hAnsi="宋体"/>
          <w:sz w:val="24"/>
        </w:rPr>
        <w:t>。</w:t>
      </w:r>
    </w:p>
    <w:p w14:paraId="24879C58">
      <w:pPr>
        <w:spacing w:line="400" w:lineRule="exact"/>
        <w:ind w:firstLine="464" w:firstLineChars="200"/>
        <w:rPr>
          <w:rFonts w:ascii="宋体" w:hAnsi="宋体"/>
          <w:bCs/>
          <w:spacing w:val="-4"/>
          <w:sz w:val="24"/>
        </w:rPr>
      </w:pPr>
      <w:r>
        <w:rPr>
          <w:rFonts w:ascii="宋体" w:hAnsi="宋体"/>
          <w:bCs/>
          <w:spacing w:val="-4"/>
          <w:sz w:val="24"/>
        </w:rPr>
        <w:t>8.2甲方有权要求乙方按本合同约定的时间、地点向甲方或甲方指定的收货人交付</w:t>
      </w:r>
      <w:r>
        <w:rPr>
          <w:rFonts w:hint="eastAsia" w:ascii="宋体" w:hAnsi="宋体"/>
          <w:bCs/>
          <w:spacing w:val="-4"/>
          <w:sz w:val="24"/>
        </w:rPr>
        <w:t>维修后合格的</w:t>
      </w:r>
      <w:r>
        <w:rPr>
          <w:rFonts w:hint="eastAsia" w:ascii="宋体" w:hAnsi="宋体"/>
          <w:bCs/>
          <w:spacing w:val="-4"/>
          <w:sz w:val="24"/>
          <w:lang w:val="en-US" w:eastAsia="zh-CN"/>
        </w:rPr>
        <w:t>BBR生物转盘</w:t>
      </w:r>
      <w:r>
        <w:rPr>
          <w:rFonts w:hint="eastAsia" w:ascii="宋体" w:hAnsi="宋体"/>
          <w:bCs/>
          <w:spacing w:val="-4"/>
          <w:sz w:val="24"/>
        </w:rPr>
        <w:t>。</w:t>
      </w:r>
    </w:p>
    <w:p w14:paraId="6466427F">
      <w:pPr>
        <w:spacing w:line="400" w:lineRule="exact"/>
        <w:ind w:firstLine="480" w:firstLineChars="200"/>
        <w:rPr>
          <w:rFonts w:ascii="宋体" w:hAnsi="宋体"/>
          <w:sz w:val="24"/>
        </w:rPr>
      </w:pPr>
      <w:r>
        <w:rPr>
          <w:rFonts w:ascii="宋体" w:hAnsi="宋体"/>
          <w:bCs/>
          <w:sz w:val="24"/>
        </w:rPr>
        <w:t>8.3</w:t>
      </w:r>
      <w:r>
        <w:rPr>
          <w:rFonts w:ascii="宋体" w:hAnsi="宋体"/>
          <w:sz w:val="24"/>
        </w:rPr>
        <w:t>甲方应按合同约定向乙方支付合同价款。</w:t>
      </w:r>
    </w:p>
    <w:p w14:paraId="38D140BC">
      <w:pPr>
        <w:spacing w:line="400" w:lineRule="exact"/>
        <w:ind w:firstLine="480" w:firstLineChars="200"/>
        <w:rPr>
          <w:rFonts w:ascii="宋体" w:hAnsi="宋体"/>
          <w:bCs/>
          <w:sz w:val="24"/>
        </w:rPr>
      </w:pPr>
      <w:r>
        <w:rPr>
          <w:rFonts w:ascii="宋体" w:hAnsi="宋体"/>
          <w:bCs/>
          <w:sz w:val="24"/>
        </w:rPr>
        <w:t>8.4本合同约定的其他权利和义务。</w:t>
      </w:r>
    </w:p>
    <w:p w14:paraId="0D0CEA81">
      <w:pPr>
        <w:spacing w:line="400" w:lineRule="exact"/>
        <w:ind w:firstLine="482" w:firstLineChars="200"/>
        <w:rPr>
          <w:rFonts w:ascii="宋体" w:hAnsi="宋体"/>
          <w:b/>
          <w:bCs/>
          <w:sz w:val="24"/>
        </w:rPr>
      </w:pPr>
      <w:r>
        <w:rPr>
          <w:rFonts w:ascii="宋体" w:hAnsi="宋体"/>
          <w:b/>
          <w:bCs/>
          <w:sz w:val="24"/>
        </w:rPr>
        <w:t>9.乙方权利义务</w:t>
      </w:r>
    </w:p>
    <w:p w14:paraId="651A6A82">
      <w:pPr>
        <w:spacing w:line="400" w:lineRule="exact"/>
        <w:ind w:firstLine="480" w:firstLineChars="200"/>
        <w:rPr>
          <w:rFonts w:ascii="宋体" w:hAnsi="宋体"/>
          <w:sz w:val="24"/>
        </w:rPr>
      </w:pPr>
      <w:r>
        <w:rPr>
          <w:rFonts w:ascii="宋体" w:hAnsi="宋体"/>
          <w:bCs/>
          <w:sz w:val="24"/>
        </w:rPr>
        <w:t>9.1</w:t>
      </w:r>
      <w:r>
        <w:rPr>
          <w:rFonts w:ascii="宋体" w:hAnsi="宋体"/>
          <w:sz w:val="24"/>
        </w:rPr>
        <w:t>乙方</w:t>
      </w:r>
      <w:r>
        <w:rPr>
          <w:rFonts w:hint="eastAsia" w:ascii="宋体" w:hAnsi="宋体"/>
          <w:sz w:val="24"/>
        </w:rPr>
        <w:t>有权利要求甲方按合同约定支付价款。</w:t>
      </w:r>
    </w:p>
    <w:p w14:paraId="0FB22236">
      <w:pPr>
        <w:spacing w:line="400" w:lineRule="exact"/>
        <w:ind w:firstLine="480" w:firstLineChars="200"/>
        <w:rPr>
          <w:rFonts w:ascii="宋体" w:hAnsi="宋体"/>
          <w:sz w:val="24"/>
        </w:rPr>
      </w:pPr>
      <w:r>
        <w:rPr>
          <w:rFonts w:ascii="宋体" w:hAnsi="宋体"/>
          <w:sz w:val="24"/>
        </w:rPr>
        <w:t>9.2乙方保证交付甲方的货物，没有侵犯他人依法享有的知识产权（含商标权、专利权和著作权）。</w:t>
      </w:r>
    </w:p>
    <w:p w14:paraId="4119964B">
      <w:pPr>
        <w:spacing w:line="400" w:lineRule="exact"/>
        <w:ind w:firstLine="480" w:firstLineChars="200"/>
        <w:rPr>
          <w:rFonts w:ascii="宋体" w:hAnsi="宋体"/>
          <w:sz w:val="24"/>
        </w:rPr>
      </w:pPr>
      <w:r>
        <w:rPr>
          <w:rFonts w:ascii="宋体" w:hAnsi="宋体"/>
          <w:sz w:val="24"/>
        </w:rPr>
        <w:t>9.3乙方确保交付甲方的</w:t>
      </w:r>
      <w:r>
        <w:rPr>
          <w:rFonts w:hint="eastAsia" w:ascii="宋体" w:hAnsi="宋体"/>
          <w:sz w:val="24"/>
          <w:lang w:val="en-US" w:eastAsia="zh-CN"/>
        </w:rPr>
        <w:t>BBR生物转盘</w:t>
      </w:r>
      <w:r>
        <w:rPr>
          <w:rFonts w:ascii="宋体" w:hAnsi="宋体"/>
          <w:sz w:val="24"/>
        </w:rPr>
        <w:t>，不侵犯第三方的商业秘密和其他合法权益。</w:t>
      </w:r>
    </w:p>
    <w:p w14:paraId="5A7F541C">
      <w:pPr>
        <w:spacing w:line="400" w:lineRule="exact"/>
        <w:ind w:firstLine="480" w:firstLineChars="200"/>
        <w:rPr>
          <w:rFonts w:ascii="宋体" w:hAnsi="宋体"/>
          <w:sz w:val="24"/>
        </w:rPr>
      </w:pPr>
      <w:r>
        <w:rPr>
          <w:rFonts w:ascii="宋体" w:hAnsi="宋体"/>
          <w:bCs/>
          <w:sz w:val="24"/>
        </w:rPr>
        <w:t>9.4</w:t>
      </w:r>
      <w:r>
        <w:rPr>
          <w:rFonts w:ascii="宋体" w:hAnsi="宋体"/>
          <w:sz w:val="24"/>
        </w:rPr>
        <w:t>按本合同约定承担</w:t>
      </w:r>
      <w:r>
        <w:rPr>
          <w:rFonts w:hint="eastAsia" w:ascii="宋体" w:hAnsi="宋体"/>
          <w:sz w:val="24"/>
          <w:lang w:val="en-US" w:eastAsia="zh-CN"/>
        </w:rPr>
        <w:t>BBR生物转盘</w:t>
      </w:r>
      <w:r>
        <w:rPr>
          <w:rFonts w:ascii="宋体" w:hAnsi="宋体"/>
          <w:sz w:val="24"/>
        </w:rPr>
        <w:t>质保责任和售后服务</w:t>
      </w:r>
      <w:r>
        <w:rPr>
          <w:rFonts w:hint="eastAsia" w:ascii="宋体" w:hAnsi="宋体"/>
          <w:sz w:val="24"/>
        </w:rPr>
        <w:t>。</w:t>
      </w:r>
    </w:p>
    <w:p w14:paraId="0B30A343">
      <w:pPr>
        <w:spacing w:line="400" w:lineRule="exact"/>
        <w:ind w:firstLine="480" w:firstLineChars="200"/>
        <w:rPr>
          <w:rFonts w:ascii="宋体" w:hAnsi="宋体"/>
          <w:bCs/>
          <w:sz w:val="24"/>
        </w:rPr>
      </w:pPr>
      <w:r>
        <w:rPr>
          <w:rFonts w:ascii="宋体" w:hAnsi="宋体"/>
          <w:sz w:val="24"/>
        </w:rPr>
        <w:t>9.5</w:t>
      </w:r>
      <w:r>
        <w:rPr>
          <w:rFonts w:ascii="宋体" w:hAnsi="宋体"/>
          <w:bCs/>
          <w:sz w:val="24"/>
        </w:rPr>
        <w:t>本合同约定的其他权利和义务。</w:t>
      </w:r>
    </w:p>
    <w:p w14:paraId="25038E50">
      <w:pPr>
        <w:spacing w:line="400" w:lineRule="exact"/>
        <w:ind w:firstLine="482" w:firstLineChars="200"/>
        <w:rPr>
          <w:rFonts w:ascii="宋体" w:hAnsi="宋体"/>
          <w:b/>
          <w:sz w:val="24"/>
        </w:rPr>
      </w:pPr>
      <w:r>
        <w:rPr>
          <w:rFonts w:ascii="宋体" w:hAnsi="宋体"/>
          <w:b/>
          <w:color w:val="000000"/>
          <w:sz w:val="24"/>
        </w:rPr>
        <w:t>10.</w:t>
      </w:r>
      <w:r>
        <w:rPr>
          <w:rFonts w:ascii="宋体" w:hAnsi="宋体"/>
          <w:b/>
          <w:sz w:val="24"/>
        </w:rPr>
        <w:t>违约责任</w:t>
      </w:r>
    </w:p>
    <w:p w14:paraId="64B46E4F">
      <w:pPr>
        <w:spacing w:line="400" w:lineRule="exact"/>
        <w:ind w:firstLine="480" w:firstLineChars="200"/>
        <w:rPr>
          <w:rFonts w:ascii="宋体" w:hAnsi="宋体"/>
          <w:bCs/>
          <w:sz w:val="24"/>
        </w:rPr>
      </w:pPr>
      <w:r>
        <w:rPr>
          <w:rFonts w:ascii="宋体" w:hAnsi="宋体"/>
          <w:bCs/>
          <w:sz w:val="24"/>
        </w:rPr>
        <w:t>10.1甲方无正当理由未按合同约定</w:t>
      </w:r>
      <w:r>
        <w:rPr>
          <w:rFonts w:hint="eastAsia" w:ascii="宋体" w:hAnsi="宋体"/>
          <w:bCs/>
          <w:sz w:val="24"/>
        </w:rPr>
        <w:t>向乙方</w:t>
      </w:r>
      <w:r>
        <w:rPr>
          <w:rFonts w:ascii="宋体" w:hAnsi="宋体"/>
          <w:bCs/>
          <w:sz w:val="24"/>
        </w:rPr>
        <w:t>支付</w:t>
      </w:r>
      <w:r>
        <w:rPr>
          <w:rFonts w:hint="eastAsia" w:ascii="宋体" w:hAnsi="宋体"/>
          <w:bCs/>
          <w:sz w:val="24"/>
        </w:rPr>
        <w:t>合同</w:t>
      </w:r>
      <w:r>
        <w:rPr>
          <w:rFonts w:ascii="宋体" w:hAnsi="宋体"/>
          <w:bCs/>
          <w:sz w:val="24"/>
        </w:rPr>
        <w:t>价款的，</w:t>
      </w:r>
      <w:r>
        <w:rPr>
          <w:rFonts w:hint="eastAsia" w:ascii="宋体" w:hAnsi="宋体"/>
          <w:bCs/>
          <w:sz w:val="24"/>
        </w:rPr>
        <w:t>应按</w:t>
      </w:r>
      <w:r>
        <w:rPr>
          <w:rFonts w:ascii="宋体" w:hAnsi="宋体"/>
          <w:bCs/>
          <w:sz w:val="24"/>
        </w:rPr>
        <w:t>银行存款同期利率向乙方支付违约金。</w:t>
      </w:r>
    </w:p>
    <w:p w14:paraId="2204BB9D">
      <w:pPr>
        <w:spacing w:line="400" w:lineRule="exact"/>
        <w:ind w:firstLine="480" w:firstLineChars="200"/>
        <w:rPr>
          <w:rFonts w:hint="default" w:ascii="宋体" w:hAnsi="宋体" w:eastAsia="宋体"/>
          <w:bCs/>
          <w:sz w:val="24"/>
          <w:lang w:val="en-US" w:eastAsia="zh-CN"/>
        </w:rPr>
      </w:pPr>
      <w:r>
        <w:rPr>
          <w:rFonts w:hint="eastAsia" w:ascii="宋体" w:hAnsi="宋体"/>
          <w:bCs/>
          <w:sz w:val="24"/>
        </w:rPr>
        <w:t>10</w:t>
      </w:r>
      <w:r>
        <w:rPr>
          <w:rFonts w:ascii="宋体" w:hAnsi="宋体"/>
          <w:bCs/>
          <w:sz w:val="24"/>
        </w:rPr>
        <w:t>.2乙方未按合同约定时间向甲方交付的，每逾期一日，应按</w:t>
      </w:r>
      <w:r>
        <w:rPr>
          <w:rFonts w:hint="eastAsia" w:ascii="宋体" w:hAnsi="宋体"/>
          <w:bCs/>
          <w:sz w:val="24"/>
          <w:lang w:val="en-US" w:eastAsia="zh-CN"/>
        </w:rPr>
        <w:t>1</w:t>
      </w:r>
      <w:r>
        <w:rPr>
          <w:rFonts w:hint="eastAsia" w:ascii="宋体" w:hAnsi="宋体"/>
          <w:bCs/>
          <w:sz w:val="24"/>
        </w:rPr>
        <w:t>00元/天向</w:t>
      </w:r>
      <w:r>
        <w:rPr>
          <w:rFonts w:ascii="宋体" w:hAnsi="宋体"/>
          <w:bCs/>
          <w:sz w:val="24"/>
        </w:rPr>
        <w:t>甲方支付违约金</w:t>
      </w:r>
      <w:r>
        <w:rPr>
          <w:rFonts w:hint="eastAsia" w:ascii="宋体" w:hAnsi="宋体"/>
          <w:bCs/>
          <w:sz w:val="24"/>
        </w:rPr>
        <w:t>，累计计算</w:t>
      </w:r>
      <w:r>
        <w:rPr>
          <w:rFonts w:ascii="宋体" w:hAnsi="宋体"/>
          <w:bCs/>
          <w:sz w:val="24"/>
        </w:rPr>
        <w:t>。</w:t>
      </w:r>
      <w:r>
        <w:rPr>
          <w:rFonts w:hint="eastAsia" w:ascii="宋体" w:hAnsi="宋体"/>
          <w:bCs/>
          <w:color w:val="auto"/>
          <w:sz w:val="24"/>
          <w:lang w:val="en-US" w:eastAsia="zh-CN"/>
        </w:rPr>
        <w:t>逾期超过15日，甲方可解除合同，乙方除需退还甲方已支付全部款项外，还应按照合同金额的20%向甲方承担违约责任。</w:t>
      </w:r>
      <w:r>
        <w:rPr>
          <w:rFonts w:hint="eastAsia" w:ascii="宋体" w:hAnsi="宋体"/>
          <w:bCs/>
          <w:sz w:val="24"/>
          <w:lang w:eastAsia="zh-CN"/>
        </w:rPr>
        <w:t>（</w:t>
      </w:r>
      <w:r>
        <w:rPr>
          <w:rFonts w:hint="eastAsia" w:ascii="宋体" w:hAnsi="宋体"/>
          <w:bCs/>
          <w:sz w:val="24"/>
          <w:lang w:val="en-US" w:eastAsia="zh-CN"/>
        </w:rPr>
        <w:t>不可抗力除外）</w:t>
      </w:r>
    </w:p>
    <w:p w14:paraId="59DF8FA8">
      <w:pPr>
        <w:spacing w:line="360" w:lineRule="exact"/>
        <w:ind w:firstLine="482" w:firstLineChars="200"/>
        <w:rPr>
          <w:rFonts w:ascii="宋体" w:hAnsi="宋体"/>
          <w:color w:val="000000"/>
          <w:sz w:val="24"/>
        </w:rPr>
      </w:pPr>
      <w:r>
        <w:rPr>
          <w:rFonts w:ascii="宋体" w:hAnsi="宋体"/>
          <w:b/>
          <w:color w:val="000000"/>
          <w:sz w:val="24"/>
        </w:rPr>
        <w:t>1</w:t>
      </w:r>
      <w:r>
        <w:rPr>
          <w:rFonts w:hint="eastAsia" w:ascii="宋体" w:hAnsi="宋体"/>
          <w:b/>
          <w:color w:val="000000"/>
          <w:sz w:val="24"/>
        </w:rPr>
        <w:t>1</w:t>
      </w:r>
      <w:r>
        <w:rPr>
          <w:rFonts w:ascii="宋体" w:hAnsi="宋体"/>
          <w:b/>
          <w:color w:val="000000"/>
          <w:sz w:val="24"/>
        </w:rPr>
        <w:t>. 合同的变更和解除</w:t>
      </w:r>
    </w:p>
    <w:p w14:paraId="715EB7F3">
      <w:pPr>
        <w:spacing w:line="360" w:lineRule="exact"/>
        <w:ind w:firstLine="480" w:firstLineChars="200"/>
        <w:rPr>
          <w:rFonts w:ascii="宋体" w:hAnsi="宋体"/>
          <w:sz w:val="24"/>
        </w:rPr>
      </w:pPr>
      <w:r>
        <w:rPr>
          <w:rFonts w:ascii="宋体" w:hAnsi="宋体"/>
          <w:sz w:val="24"/>
        </w:rPr>
        <w:t>1</w:t>
      </w:r>
      <w:r>
        <w:rPr>
          <w:rFonts w:hint="eastAsia" w:ascii="宋体" w:hAnsi="宋体"/>
          <w:sz w:val="24"/>
        </w:rPr>
        <w:t>1</w:t>
      </w:r>
      <w:r>
        <w:rPr>
          <w:rFonts w:ascii="宋体" w:hAnsi="宋体"/>
          <w:sz w:val="24"/>
        </w:rPr>
        <w:t>.1本合同履行期间，经协商一致，甲乙双方可以变更本合同的相关条款。</w:t>
      </w:r>
    </w:p>
    <w:p w14:paraId="79874C01">
      <w:pPr>
        <w:spacing w:line="360" w:lineRule="exact"/>
        <w:ind w:firstLine="480" w:firstLineChars="200"/>
        <w:rPr>
          <w:rFonts w:ascii="宋体" w:hAnsi="宋体"/>
          <w:sz w:val="24"/>
        </w:rPr>
      </w:pPr>
      <w:r>
        <w:rPr>
          <w:rFonts w:hint="eastAsia" w:ascii="宋体" w:hAnsi="宋体"/>
          <w:sz w:val="24"/>
        </w:rPr>
        <w:t>11.2本合同未尽事宜由双方协商解决或签订书面补充协议，补充协议与本合同具有同等法律效力。</w:t>
      </w:r>
    </w:p>
    <w:p w14:paraId="5C822FEE">
      <w:pPr>
        <w:spacing w:line="360" w:lineRule="exact"/>
        <w:ind w:firstLine="480" w:firstLineChars="20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3</w:t>
      </w:r>
      <w:r>
        <w:rPr>
          <w:rFonts w:ascii="宋体" w:hAnsi="宋体"/>
          <w:sz w:val="24"/>
        </w:rPr>
        <w:t>出现以下情形</w:t>
      </w:r>
      <w:r>
        <w:rPr>
          <w:rFonts w:hint="eastAsia" w:ascii="宋体" w:hAnsi="宋体"/>
          <w:sz w:val="24"/>
        </w:rPr>
        <w:t>之一</w:t>
      </w:r>
      <w:r>
        <w:rPr>
          <w:rFonts w:ascii="宋体" w:hAnsi="宋体"/>
          <w:sz w:val="24"/>
        </w:rPr>
        <w:t>，甲乙双方可以解除本合同：</w:t>
      </w:r>
    </w:p>
    <w:p w14:paraId="54119E9E">
      <w:pPr>
        <w:spacing w:line="360" w:lineRule="exact"/>
        <w:ind w:firstLine="480" w:firstLineChars="20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3</w:t>
      </w:r>
      <w:r>
        <w:rPr>
          <w:rFonts w:ascii="宋体" w:hAnsi="宋体"/>
          <w:sz w:val="24"/>
        </w:rPr>
        <w:t>.1双方协商一致；</w:t>
      </w:r>
    </w:p>
    <w:p w14:paraId="15E0FEBA">
      <w:pPr>
        <w:spacing w:line="360" w:lineRule="exact"/>
        <w:ind w:firstLine="480" w:firstLineChars="20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3</w:t>
      </w:r>
      <w:r>
        <w:rPr>
          <w:rFonts w:ascii="宋体" w:hAnsi="宋体"/>
          <w:sz w:val="24"/>
        </w:rPr>
        <w:t>.2法律规定或者本合同约定的其他可以解除合同的情形。</w:t>
      </w:r>
    </w:p>
    <w:p w14:paraId="00E43C86">
      <w:pPr>
        <w:adjustRightInd w:val="0"/>
        <w:snapToGrid w:val="0"/>
        <w:spacing w:line="360" w:lineRule="exact"/>
        <w:ind w:firstLine="482" w:firstLineChars="200"/>
        <w:rPr>
          <w:rFonts w:ascii="宋体" w:hAnsi="宋体"/>
          <w:b/>
          <w:sz w:val="24"/>
        </w:rPr>
      </w:pPr>
      <w:r>
        <w:rPr>
          <w:rFonts w:ascii="宋体" w:hAnsi="宋体"/>
          <w:b/>
          <w:sz w:val="24"/>
        </w:rPr>
        <w:t>1</w:t>
      </w:r>
      <w:r>
        <w:rPr>
          <w:rFonts w:hint="eastAsia" w:ascii="宋体" w:hAnsi="宋体"/>
          <w:b/>
          <w:sz w:val="24"/>
        </w:rPr>
        <w:t>2</w:t>
      </w:r>
      <w:r>
        <w:rPr>
          <w:rFonts w:ascii="宋体" w:hAnsi="宋体"/>
          <w:b/>
          <w:sz w:val="24"/>
        </w:rPr>
        <w:t>. 通知及送达</w:t>
      </w:r>
    </w:p>
    <w:p w14:paraId="0A2A979D">
      <w:pPr>
        <w:adjustRightInd w:val="0"/>
        <w:snapToGrid w:val="0"/>
        <w:spacing w:line="36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.1 双方在履行本合同过程中发出的全部通知，均须采取书面形式，送达地址为双方在本合同上填写的地址。</w:t>
      </w:r>
    </w:p>
    <w:p w14:paraId="6867AA4B">
      <w:pPr>
        <w:adjustRightInd w:val="0"/>
        <w:snapToGrid w:val="0"/>
        <w:spacing w:line="36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.2甲方为履行本合同的指定联系人为：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，联系电话为：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w:t>
      </w:r>
      <w:r>
        <w:rPr>
          <w:rFonts w:ascii="宋体" w:hAnsi="宋体"/>
          <w:sz w:val="24"/>
        </w:rPr>
        <w:t>乙方为履行本合同的指定联系人为：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，联系电话为：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w:t>
      </w:r>
    </w:p>
    <w:p w14:paraId="05942E0B">
      <w:pPr>
        <w:adjustRightInd w:val="0"/>
        <w:snapToGrid w:val="0"/>
        <w:spacing w:line="36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.3任何一方的地址或联系人</w:t>
      </w:r>
      <w:r>
        <w:rPr>
          <w:rFonts w:hint="eastAsia" w:ascii="宋体" w:hAnsi="宋体"/>
          <w:sz w:val="24"/>
        </w:rPr>
        <w:t>等涉及重大信息</w:t>
      </w:r>
      <w:r>
        <w:rPr>
          <w:rFonts w:ascii="宋体" w:hAnsi="宋体"/>
          <w:sz w:val="24"/>
        </w:rPr>
        <w:t>发生变更时，须在变更前日以书面形式通知对方。</w:t>
      </w:r>
      <w:r>
        <w:rPr>
          <w:rFonts w:hint="eastAsia" w:ascii="宋体" w:hAnsi="宋体"/>
          <w:sz w:val="24"/>
        </w:rPr>
        <w:t>因迟延通知而造成的损失，由过错方承担责任。</w:t>
      </w:r>
    </w:p>
    <w:p w14:paraId="694FCEEE">
      <w:pPr>
        <w:spacing w:line="360" w:lineRule="exact"/>
        <w:ind w:firstLine="482" w:firstLineChars="200"/>
        <w:rPr>
          <w:rFonts w:ascii="宋体" w:hAnsi="宋体"/>
          <w:b/>
          <w:bCs/>
          <w:sz w:val="24"/>
        </w:rPr>
      </w:pPr>
      <w:r>
        <w:rPr>
          <w:rFonts w:ascii="宋体" w:hAnsi="宋体"/>
          <w:b/>
          <w:color w:val="000000"/>
          <w:sz w:val="24"/>
        </w:rPr>
        <w:t>1</w:t>
      </w:r>
      <w:r>
        <w:rPr>
          <w:rFonts w:hint="eastAsia" w:ascii="宋体" w:hAnsi="宋体"/>
          <w:b/>
          <w:color w:val="000000"/>
          <w:sz w:val="24"/>
        </w:rPr>
        <w:t>3</w:t>
      </w:r>
      <w:r>
        <w:rPr>
          <w:rFonts w:ascii="宋体" w:hAnsi="宋体"/>
          <w:b/>
          <w:color w:val="000000"/>
          <w:sz w:val="24"/>
        </w:rPr>
        <w:t xml:space="preserve">. </w:t>
      </w:r>
      <w:r>
        <w:rPr>
          <w:rFonts w:ascii="宋体" w:hAnsi="宋体"/>
          <w:b/>
          <w:bCs/>
          <w:sz w:val="24"/>
        </w:rPr>
        <w:t>争议的解决</w:t>
      </w:r>
    </w:p>
    <w:p w14:paraId="376BAE6B">
      <w:pPr>
        <w:spacing w:line="360" w:lineRule="exact"/>
        <w:ind w:firstLine="480" w:firstLineChars="200"/>
        <w:rPr>
          <w:rFonts w:ascii="宋体" w:hAnsi="宋体" w:cs="宋体"/>
          <w:kern w:val="0"/>
          <w:sz w:val="24"/>
        </w:rPr>
      </w:pPr>
      <w:r>
        <w:rPr>
          <w:rFonts w:ascii="宋体" w:hAnsi="宋体"/>
          <w:sz w:val="24"/>
        </w:rPr>
        <w:t>因履行本合同发生的争议，由当事人友好协商解决，协商不成的</w:t>
      </w:r>
      <w:r>
        <w:rPr>
          <w:rFonts w:hint="eastAsia" w:ascii="宋体" w:hAnsi="宋体"/>
          <w:sz w:val="24"/>
        </w:rPr>
        <w:t>，任何一方均可向甲方所在地人民法院提起诉讼。</w:t>
      </w:r>
    </w:p>
    <w:p w14:paraId="21B2E6C5">
      <w:pPr>
        <w:spacing w:line="360" w:lineRule="exact"/>
        <w:ind w:firstLine="520" w:firstLineChars="216"/>
        <w:rPr>
          <w:rFonts w:ascii="宋体" w:hAnsi="宋体"/>
          <w:b/>
          <w:color w:val="000000"/>
          <w:sz w:val="24"/>
        </w:rPr>
      </w:pPr>
      <w:r>
        <w:rPr>
          <w:rFonts w:ascii="宋体" w:hAnsi="宋体"/>
          <w:b/>
          <w:color w:val="000000"/>
          <w:sz w:val="24"/>
        </w:rPr>
        <w:t>1</w:t>
      </w:r>
      <w:r>
        <w:rPr>
          <w:rFonts w:hint="eastAsia" w:ascii="宋体" w:hAnsi="宋体"/>
          <w:b/>
          <w:color w:val="000000"/>
          <w:sz w:val="24"/>
        </w:rPr>
        <w:t>4</w:t>
      </w:r>
      <w:r>
        <w:rPr>
          <w:rFonts w:ascii="宋体" w:hAnsi="宋体"/>
          <w:b/>
          <w:color w:val="000000"/>
          <w:sz w:val="24"/>
        </w:rPr>
        <w:t xml:space="preserve">. </w:t>
      </w:r>
      <w:r>
        <w:rPr>
          <w:rFonts w:hint="eastAsia" w:ascii="宋体" w:hAnsi="宋体"/>
          <w:b/>
          <w:color w:val="000000"/>
          <w:sz w:val="24"/>
        </w:rPr>
        <w:t>合同生效及其他</w:t>
      </w:r>
    </w:p>
    <w:p w14:paraId="76697EC0">
      <w:pPr>
        <w:spacing w:line="36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.1 </w:t>
      </w:r>
      <w:r>
        <w:rPr>
          <w:rFonts w:hint="eastAsia" w:ascii="宋体" w:hAnsi="宋体"/>
          <w:sz w:val="24"/>
        </w:rPr>
        <w:t>本合同一式</w:t>
      </w:r>
      <w:r>
        <w:rPr>
          <w:rFonts w:hint="eastAsia" w:ascii="宋体" w:hAnsi="宋体"/>
          <w:sz w:val="24"/>
          <w:lang w:val="en-US" w:eastAsia="zh-CN"/>
        </w:rPr>
        <w:t>伍</w:t>
      </w:r>
      <w:r>
        <w:rPr>
          <w:rFonts w:hint="eastAsia" w:ascii="宋体" w:hAnsi="宋体"/>
          <w:sz w:val="24"/>
        </w:rPr>
        <w:t>份，甲方持</w:t>
      </w:r>
      <w:r>
        <w:rPr>
          <w:rFonts w:hint="eastAsia" w:ascii="宋体" w:hAnsi="宋体"/>
          <w:sz w:val="24"/>
          <w:lang w:val="en-US" w:eastAsia="zh-CN"/>
        </w:rPr>
        <w:t>叁</w:t>
      </w:r>
      <w:r>
        <w:rPr>
          <w:rFonts w:hint="eastAsia" w:ascii="宋体" w:hAnsi="宋体"/>
          <w:sz w:val="24"/>
        </w:rPr>
        <w:t>份，乙方持</w:t>
      </w:r>
      <w:r>
        <w:rPr>
          <w:rFonts w:hint="eastAsia" w:ascii="宋体" w:hAnsi="宋体"/>
          <w:sz w:val="24"/>
          <w:lang w:val="en-US" w:eastAsia="zh-CN"/>
        </w:rPr>
        <w:t>贰</w:t>
      </w:r>
      <w:r>
        <w:rPr>
          <w:rFonts w:hint="eastAsia" w:ascii="宋体" w:hAnsi="宋体"/>
          <w:sz w:val="24"/>
        </w:rPr>
        <w:t>份，具有同等法律效力。</w:t>
      </w:r>
    </w:p>
    <w:p w14:paraId="405AB789">
      <w:pPr>
        <w:spacing w:line="36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.2 </w:t>
      </w:r>
      <w:r>
        <w:rPr>
          <w:rFonts w:hint="eastAsia" w:ascii="宋体" w:hAnsi="宋体"/>
          <w:sz w:val="24"/>
        </w:rPr>
        <w:t>本合同自甲乙双方法定代表人或委托代理人签字并加盖公章或合同专用章之日生效。</w:t>
      </w:r>
    </w:p>
    <w:p w14:paraId="6F90D8D7">
      <w:pPr>
        <w:spacing w:line="360" w:lineRule="exact"/>
        <w:ind w:firstLine="480" w:firstLineChars="200"/>
        <w:rPr>
          <w:rFonts w:hint="eastAsia"/>
          <w:sz w:val="28"/>
          <w:szCs w:val="32"/>
        </w:rPr>
      </w:pPr>
      <w:r>
        <w:rPr>
          <w:rFonts w:hint="eastAsia" w:ascii="宋体" w:hAnsi="宋体"/>
          <w:sz w:val="24"/>
        </w:rPr>
        <w:t>14.3其他约定事项：</w:t>
      </w:r>
      <w:r>
        <w:rPr>
          <w:rFonts w:hint="eastAsia" w:ascii="宋体" w:hAnsi="宋体"/>
          <w:sz w:val="24"/>
          <w:u w:val="single"/>
        </w:rPr>
        <w:t xml:space="preserve">  （若有）                                 </w:t>
      </w:r>
    </w:p>
    <w:p w14:paraId="6AC90123">
      <w:pPr>
        <w:spacing w:line="360" w:lineRule="exact"/>
        <w:ind w:firstLine="560" w:firstLineChars="200"/>
        <w:rPr>
          <w:rFonts w:hint="eastAsia"/>
          <w:sz w:val="28"/>
          <w:szCs w:val="32"/>
        </w:rPr>
      </w:pPr>
    </w:p>
    <w:p w14:paraId="62DF2AB8">
      <w:pPr>
        <w:spacing w:line="360" w:lineRule="exact"/>
        <w:ind w:firstLine="560" w:firstLineChars="200"/>
        <w:rPr>
          <w:rFonts w:hint="eastAsia"/>
          <w:sz w:val="28"/>
          <w:szCs w:val="32"/>
        </w:rPr>
      </w:pPr>
    </w:p>
    <w:p w14:paraId="11606BC8">
      <w:pPr>
        <w:spacing w:line="360" w:lineRule="exact"/>
        <w:rPr>
          <w:rFonts w:hint="eastAsia"/>
          <w:sz w:val="28"/>
          <w:szCs w:val="32"/>
        </w:rPr>
      </w:pPr>
      <w:r>
        <w:rPr>
          <w:rFonts w:hint="eastAsia"/>
          <w:sz w:val="28"/>
          <w:szCs w:val="32"/>
        </w:rPr>
        <w:t>（正文止，以下为签署页）</w:t>
      </w:r>
    </w:p>
    <w:p w14:paraId="2188633E">
      <w:pPr>
        <w:spacing w:line="360" w:lineRule="exact"/>
        <w:rPr>
          <w:rFonts w:hint="eastAsia"/>
          <w:sz w:val="28"/>
          <w:szCs w:val="32"/>
        </w:rPr>
      </w:pPr>
    </w:p>
    <w:p w14:paraId="2CBDED32">
      <w:pPr>
        <w:spacing w:line="360" w:lineRule="exact"/>
        <w:rPr>
          <w:rFonts w:hint="eastAsia"/>
          <w:sz w:val="28"/>
          <w:szCs w:val="32"/>
        </w:rPr>
      </w:pPr>
    </w:p>
    <w:p w14:paraId="7F2CDF9B">
      <w:pPr>
        <w:spacing w:line="360" w:lineRule="exact"/>
        <w:rPr>
          <w:rFonts w:hint="eastAsia"/>
          <w:sz w:val="28"/>
          <w:szCs w:val="32"/>
        </w:rPr>
      </w:pPr>
    </w:p>
    <w:p w14:paraId="5B65D5B4">
      <w:pPr>
        <w:spacing w:line="360" w:lineRule="exact"/>
        <w:rPr>
          <w:rFonts w:hint="eastAsia"/>
          <w:sz w:val="28"/>
          <w:szCs w:val="32"/>
        </w:rPr>
      </w:pPr>
    </w:p>
    <w:p w14:paraId="1E2498A1">
      <w:pPr>
        <w:spacing w:line="360" w:lineRule="exact"/>
        <w:rPr>
          <w:rFonts w:hint="eastAsia"/>
          <w:sz w:val="28"/>
          <w:szCs w:val="32"/>
        </w:rPr>
      </w:pPr>
    </w:p>
    <w:p w14:paraId="76C94D50">
      <w:pPr>
        <w:spacing w:line="360" w:lineRule="exact"/>
        <w:rPr>
          <w:rFonts w:hint="eastAsia"/>
          <w:sz w:val="28"/>
          <w:szCs w:val="32"/>
        </w:rPr>
      </w:pPr>
    </w:p>
    <w:p w14:paraId="7C6356C3">
      <w:pPr>
        <w:spacing w:line="360" w:lineRule="exact"/>
        <w:rPr>
          <w:rFonts w:hint="eastAsia"/>
          <w:sz w:val="28"/>
          <w:szCs w:val="32"/>
        </w:rPr>
      </w:pPr>
    </w:p>
    <w:p w14:paraId="7A97791C">
      <w:pPr>
        <w:spacing w:line="360" w:lineRule="exact"/>
        <w:rPr>
          <w:rFonts w:hint="eastAsia"/>
          <w:sz w:val="28"/>
          <w:szCs w:val="32"/>
        </w:rPr>
      </w:pPr>
    </w:p>
    <w:p w14:paraId="5C8D7A8B">
      <w:pPr>
        <w:spacing w:line="360" w:lineRule="exact"/>
        <w:rPr>
          <w:rFonts w:hint="eastAsia"/>
          <w:sz w:val="28"/>
          <w:szCs w:val="32"/>
        </w:rPr>
      </w:pPr>
    </w:p>
    <w:p w14:paraId="1AB2148B">
      <w:pPr>
        <w:spacing w:line="360" w:lineRule="exact"/>
        <w:rPr>
          <w:rFonts w:hint="eastAsia"/>
          <w:sz w:val="28"/>
          <w:szCs w:val="32"/>
        </w:rPr>
      </w:pPr>
    </w:p>
    <w:p w14:paraId="1E4A262F">
      <w:pPr>
        <w:spacing w:line="360" w:lineRule="exact"/>
        <w:rPr>
          <w:rFonts w:hint="eastAsia"/>
          <w:sz w:val="28"/>
          <w:szCs w:val="32"/>
        </w:rPr>
      </w:pPr>
    </w:p>
    <w:p w14:paraId="33282682">
      <w:pPr>
        <w:spacing w:line="360" w:lineRule="exact"/>
        <w:rPr>
          <w:rFonts w:hint="eastAsia"/>
          <w:sz w:val="28"/>
          <w:szCs w:val="32"/>
        </w:rPr>
      </w:pPr>
      <w:bookmarkStart w:id="0" w:name="_GoBack"/>
      <w:bookmarkEnd w:id="0"/>
    </w:p>
    <w:p w14:paraId="29ADBA90">
      <w:pPr>
        <w:spacing w:line="360" w:lineRule="exact"/>
        <w:rPr>
          <w:rFonts w:hint="eastAsia"/>
          <w:sz w:val="28"/>
          <w:szCs w:val="32"/>
        </w:rPr>
      </w:pPr>
    </w:p>
    <w:p w14:paraId="3D5D2445">
      <w:pPr>
        <w:spacing w:line="360" w:lineRule="exact"/>
        <w:rPr>
          <w:rFonts w:hint="eastAsia"/>
          <w:sz w:val="28"/>
          <w:szCs w:val="32"/>
        </w:rPr>
      </w:pPr>
    </w:p>
    <w:p w14:paraId="4FAF4156">
      <w:pPr>
        <w:spacing w:line="360" w:lineRule="exact"/>
        <w:rPr>
          <w:rFonts w:hint="eastAsia"/>
          <w:sz w:val="28"/>
          <w:szCs w:val="32"/>
        </w:rPr>
      </w:pPr>
    </w:p>
    <w:p w14:paraId="20B1304A">
      <w:pPr>
        <w:spacing w:line="360" w:lineRule="exact"/>
        <w:rPr>
          <w:rFonts w:hint="eastAsia"/>
          <w:sz w:val="28"/>
          <w:szCs w:val="32"/>
        </w:rPr>
      </w:pPr>
    </w:p>
    <w:p w14:paraId="21320E40">
      <w:pPr>
        <w:spacing w:line="360" w:lineRule="exact"/>
        <w:rPr>
          <w:rFonts w:hint="eastAsia"/>
          <w:sz w:val="28"/>
          <w:szCs w:val="32"/>
        </w:rPr>
      </w:pPr>
    </w:p>
    <w:tbl>
      <w:tblPr>
        <w:tblStyle w:val="13"/>
        <w:tblpPr w:leftFromText="180" w:rightFromText="180" w:vertAnchor="text" w:horzAnchor="page" w:tblpX="1565" w:tblpY="374"/>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69"/>
        <w:gridCol w:w="4615"/>
        <w:gridCol w:w="1896"/>
      </w:tblGrid>
      <w:tr w14:paraId="56B1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18" w:type="dxa"/>
            <w:vMerge w:val="restart"/>
            <w:tcBorders>
              <w:top w:val="single" w:color="auto" w:sz="12" w:space="0"/>
              <w:left w:val="single" w:color="auto" w:sz="12" w:space="0"/>
              <w:bottom w:val="single" w:color="auto" w:sz="6" w:space="0"/>
              <w:right w:val="single" w:color="auto" w:sz="6" w:space="0"/>
            </w:tcBorders>
            <w:noWrap w:val="0"/>
            <w:textDirection w:val="tbRlV"/>
            <w:vAlign w:val="center"/>
          </w:tcPr>
          <w:p w14:paraId="16AD2BD2">
            <w:pPr>
              <w:jc w:val="center"/>
              <w:rPr>
                <w:rFonts w:hint="eastAsia" w:ascii="宋体" w:hAnsi="宋体" w:eastAsia="宋体" w:cs="宋体"/>
                <w:sz w:val="24"/>
                <w:szCs w:val="24"/>
              </w:rPr>
            </w:pPr>
            <w:r>
              <w:rPr>
                <w:rFonts w:hint="eastAsia" w:ascii="宋体" w:hAnsi="宋体" w:eastAsia="宋体" w:cs="宋体"/>
                <w:sz w:val="24"/>
                <w:szCs w:val="24"/>
              </w:rPr>
              <w:t>甲  方</w:t>
            </w:r>
          </w:p>
        </w:tc>
        <w:tc>
          <w:tcPr>
            <w:tcW w:w="1969" w:type="dxa"/>
            <w:tcBorders>
              <w:top w:val="single" w:color="auto" w:sz="12" w:space="0"/>
              <w:left w:val="single" w:color="auto" w:sz="6" w:space="0"/>
              <w:bottom w:val="single" w:color="auto" w:sz="6" w:space="0"/>
              <w:right w:val="single" w:color="auto" w:sz="6" w:space="0"/>
            </w:tcBorders>
            <w:noWrap w:val="0"/>
            <w:vAlign w:val="center"/>
          </w:tcPr>
          <w:p w14:paraId="622EB60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4615" w:type="dxa"/>
            <w:tcBorders>
              <w:top w:val="single" w:color="auto" w:sz="12" w:space="0"/>
              <w:left w:val="single" w:color="auto" w:sz="6" w:space="0"/>
              <w:bottom w:val="single" w:color="auto" w:sz="6" w:space="0"/>
              <w:right w:val="single" w:color="auto" w:sz="4" w:space="0"/>
            </w:tcBorders>
            <w:noWrap w:val="0"/>
            <w:vAlign w:val="center"/>
          </w:tcPr>
          <w:p w14:paraId="13C3CB79">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广汉兴鑫水务有限责任公司 </w:t>
            </w:r>
          </w:p>
        </w:tc>
        <w:tc>
          <w:tcPr>
            <w:tcW w:w="1896" w:type="dxa"/>
            <w:vMerge w:val="restart"/>
            <w:tcBorders>
              <w:top w:val="single" w:color="auto" w:sz="12" w:space="0"/>
              <w:left w:val="single" w:color="auto" w:sz="4" w:space="0"/>
              <w:bottom w:val="single" w:color="auto" w:sz="6" w:space="0"/>
              <w:right w:val="single" w:color="auto" w:sz="12" w:space="0"/>
            </w:tcBorders>
            <w:noWrap w:val="0"/>
            <w:vAlign w:val="center"/>
          </w:tcPr>
          <w:p w14:paraId="4D31E57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合同专用章</w:t>
            </w:r>
          </w:p>
          <w:p w14:paraId="605D604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或</w:t>
            </w:r>
          </w:p>
          <w:p w14:paraId="0C2F80A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单位公章</w:t>
            </w:r>
          </w:p>
          <w:p w14:paraId="743C3F3D">
            <w:pPr>
              <w:jc w:val="center"/>
              <w:rPr>
                <w:rFonts w:hint="eastAsia" w:ascii="宋体" w:hAnsi="宋体" w:eastAsia="宋体" w:cs="宋体"/>
                <w:sz w:val="24"/>
                <w:szCs w:val="24"/>
              </w:rPr>
            </w:pPr>
          </w:p>
          <w:p w14:paraId="0D0D72CB">
            <w:pPr>
              <w:jc w:val="center"/>
              <w:rPr>
                <w:rFonts w:hint="eastAsia" w:ascii="宋体" w:hAnsi="宋体" w:eastAsia="宋体" w:cs="宋体"/>
                <w:sz w:val="24"/>
                <w:szCs w:val="24"/>
              </w:rPr>
            </w:pPr>
          </w:p>
          <w:p w14:paraId="7F56E567">
            <w:pPr>
              <w:jc w:val="center"/>
              <w:rPr>
                <w:rFonts w:hint="eastAsia" w:ascii="宋体" w:hAnsi="宋体" w:eastAsia="宋体" w:cs="宋体"/>
                <w:sz w:val="24"/>
                <w:szCs w:val="24"/>
              </w:rPr>
            </w:pPr>
          </w:p>
          <w:p w14:paraId="7CB8D337">
            <w:pPr>
              <w:jc w:val="both"/>
              <w:rPr>
                <w:rFonts w:hint="eastAsia" w:ascii="宋体" w:hAnsi="宋体" w:eastAsia="宋体" w:cs="宋体"/>
                <w:sz w:val="24"/>
                <w:szCs w:val="24"/>
              </w:rPr>
            </w:pPr>
          </w:p>
          <w:p w14:paraId="3B2CA6B3">
            <w:pPr>
              <w:jc w:val="center"/>
              <w:rPr>
                <w:rFonts w:hint="eastAsia" w:ascii="宋体" w:hAnsi="宋体" w:eastAsia="宋体" w:cs="宋体"/>
                <w:sz w:val="24"/>
                <w:szCs w:val="24"/>
              </w:rPr>
            </w:pPr>
          </w:p>
          <w:p w14:paraId="120D289F">
            <w:pPr>
              <w:jc w:val="center"/>
              <w:rPr>
                <w:rFonts w:hint="eastAsia" w:ascii="宋体" w:hAnsi="宋体" w:eastAsia="宋体" w:cs="宋体"/>
                <w:sz w:val="24"/>
                <w:szCs w:val="24"/>
              </w:rPr>
            </w:pPr>
          </w:p>
          <w:p w14:paraId="47AEF77B">
            <w:pPr>
              <w:jc w:val="center"/>
              <w:rPr>
                <w:rFonts w:hint="eastAsia" w:ascii="宋体" w:hAnsi="宋体" w:eastAsia="宋体" w:cs="宋体"/>
                <w:sz w:val="24"/>
                <w:szCs w:val="24"/>
              </w:rPr>
            </w:pPr>
          </w:p>
          <w:p w14:paraId="1FAE329D">
            <w:pPr>
              <w:spacing w:line="360" w:lineRule="exact"/>
              <w:jc w:val="right"/>
              <w:rPr>
                <w:rFonts w:hint="eastAsia" w:ascii="宋体" w:hAnsi="宋体" w:eastAsia="宋体" w:cs="宋体"/>
                <w:sz w:val="24"/>
                <w:szCs w:val="24"/>
              </w:rPr>
            </w:pPr>
            <w:r>
              <w:rPr>
                <w:rFonts w:hint="eastAsia" w:ascii="宋体" w:hAnsi="宋体" w:eastAsia="宋体" w:cs="宋体"/>
                <w:sz w:val="24"/>
                <w:szCs w:val="24"/>
              </w:rPr>
              <w:t>年  月  日</w:t>
            </w:r>
          </w:p>
        </w:tc>
      </w:tr>
      <w:tr w14:paraId="3A17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18" w:type="dxa"/>
            <w:vMerge w:val="continue"/>
            <w:tcBorders>
              <w:top w:val="single" w:color="auto" w:sz="12" w:space="0"/>
              <w:left w:val="single" w:color="auto" w:sz="12" w:space="0"/>
              <w:bottom w:val="single" w:color="auto" w:sz="6" w:space="0"/>
              <w:right w:val="single" w:color="auto" w:sz="6" w:space="0"/>
            </w:tcBorders>
            <w:noWrap w:val="0"/>
            <w:vAlign w:val="center"/>
          </w:tcPr>
          <w:p w14:paraId="3878CAE0">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4" w:space="0"/>
              <w:right w:val="single" w:color="auto" w:sz="6" w:space="0"/>
            </w:tcBorders>
            <w:noWrap w:val="0"/>
            <w:vAlign w:val="center"/>
          </w:tcPr>
          <w:p w14:paraId="43638CD2">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4615" w:type="dxa"/>
            <w:tcBorders>
              <w:top w:val="single" w:color="auto" w:sz="6" w:space="0"/>
              <w:left w:val="single" w:color="auto" w:sz="6" w:space="0"/>
              <w:bottom w:val="single" w:color="auto" w:sz="4" w:space="0"/>
              <w:right w:val="single" w:color="auto" w:sz="4" w:space="0"/>
            </w:tcBorders>
            <w:noWrap w:val="0"/>
            <w:vAlign w:val="center"/>
          </w:tcPr>
          <w:p w14:paraId="2A61625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（签字或盖章）</w:t>
            </w:r>
          </w:p>
        </w:tc>
        <w:tc>
          <w:tcPr>
            <w:tcW w:w="1896" w:type="dxa"/>
            <w:vMerge w:val="continue"/>
            <w:tcBorders>
              <w:top w:val="single" w:color="auto" w:sz="12" w:space="0"/>
              <w:left w:val="single" w:color="auto" w:sz="4" w:space="0"/>
              <w:bottom w:val="single" w:color="auto" w:sz="6" w:space="0"/>
              <w:right w:val="single" w:color="auto" w:sz="12" w:space="0"/>
            </w:tcBorders>
            <w:noWrap w:val="0"/>
            <w:vAlign w:val="center"/>
          </w:tcPr>
          <w:p w14:paraId="2B46ACA3">
            <w:pPr>
              <w:rPr>
                <w:rFonts w:hint="eastAsia" w:ascii="宋体" w:hAnsi="宋体" w:eastAsia="宋体" w:cs="宋体"/>
                <w:sz w:val="24"/>
                <w:szCs w:val="24"/>
              </w:rPr>
            </w:pPr>
          </w:p>
        </w:tc>
      </w:tr>
      <w:tr w14:paraId="619D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18" w:type="dxa"/>
            <w:vMerge w:val="continue"/>
            <w:tcBorders>
              <w:top w:val="single" w:color="auto" w:sz="12" w:space="0"/>
              <w:left w:val="single" w:color="auto" w:sz="12" w:space="0"/>
              <w:bottom w:val="single" w:color="auto" w:sz="6" w:space="0"/>
              <w:right w:val="single" w:color="auto" w:sz="6" w:space="0"/>
            </w:tcBorders>
            <w:noWrap w:val="0"/>
            <w:vAlign w:val="center"/>
          </w:tcPr>
          <w:p w14:paraId="3B107524">
            <w:pPr>
              <w:rPr>
                <w:rFonts w:hint="eastAsia" w:ascii="宋体" w:hAnsi="宋体" w:eastAsia="宋体" w:cs="宋体"/>
                <w:sz w:val="24"/>
                <w:szCs w:val="24"/>
              </w:rPr>
            </w:pPr>
          </w:p>
        </w:tc>
        <w:tc>
          <w:tcPr>
            <w:tcW w:w="1969" w:type="dxa"/>
            <w:tcBorders>
              <w:top w:val="single" w:color="auto" w:sz="4" w:space="0"/>
              <w:left w:val="single" w:color="auto" w:sz="6" w:space="0"/>
              <w:bottom w:val="single" w:color="auto" w:sz="6" w:space="0"/>
              <w:right w:val="single" w:color="auto" w:sz="6" w:space="0"/>
            </w:tcBorders>
            <w:noWrap w:val="0"/>
            <w:vAlign w:val="center"/>
          </w:tcPr>
          <w:p w14:paraId="38B9299E">
            <w:pPr>
              <w:spacing w:line="360" w:lineRule="exact"/>
              <w:jc w:val="center"/>
              <w:rPr>
                <w:rFonts w:hint="eastAsia" w:ascii="宋体" w:hAnsi="宋体" w:eastAsia="宋体" w:cs="宋体"/>
                <w:sz w:val="24"/>
                <w:szCs w:val="24"/>
              </w:rPr>
            </w:pPr>
            <w:r>
              <w:rPr>
                <w:rFonts w:hint="eastAsia"/>
                <w:sz w:val="16"/>
                <w:szCs w:val="16"/>
                <w:lang w:val="en-US" w:eastAsia="zh-CN"/>
              </w:rPr>
              <w:t>统一社会信用代码</w:t>
            </w:r>
          </w:p>
        </w:tc>
        <w:tc>
          <w:tcPr>
            <w:tcW w:w="4615" w:type="dxa"/>
            <w:tcBorders>
              <w:top w:val="single" w:color="auto" w:sz="4" w:space="0"/>
              <w:left w:val="single" w:color="auto" w:sz="6" w:space="0"/>
              <w:bottom w:val="single" w:color="auto" w:sz="6" w:space="0"/>
              <w:right w:val="single" w:color="auto" w:sz="4" w:space="0"/>
            </w:tcBorders>
            <w:noWrap w:val="0"/>
            <w:vAlign w:val="center"/>
          </w:tcPr>
          <w:p w14:paraId="7F4552B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textAlignment w:val="top"/>
              <w:rPr>
                <w:rFonts w:hint="eastAsia" w:ascii="宋体" w:hAnsi="宋体" w:eastAsia="宋体" w:cs="宋体"/>
                <w:sz w:val="24"/>
                <w:szCs w:val="24"/>
              </w:rPr>
            </w:pPr>
            <w:r>
              <w:rPr>
                <w:rFonts w:hint="eastAsia" w:cs="Times New Roman"/>
                <w:kern w:val="2"/>
                <w:sz w:val="24"/>
                <w:szCs w:val="24"/>
                <w:lang w:val="en-US" w:eastAsia="zh-CN" w:bidi="ar-SA"/>
              </w:rPr>
              <w:t xml:space="preserve"> </w:t>
            </w:r>
          </w:p>
        </w:tc>
        <w:tc>
          <w:tcPr>
            <w:tcW w:w="1896" w:type="dxa"/>
            <w:vMerge w:val="continue"/>
            <w:tcBorders>
              <w:top w:val="single" w:color="auto" w:sz="12" w:space="0"/>
              <w:left w:val="single" w:color="auto" w:sz="4" w:space="0"/>
              <w:bottom w:val="single" w:color="auto" w:sz="6" w:space="0"/>
              <w:right w:val="single" w:color="auto" w:sz="12" w:space="0"/>
            </w:tcBorders>
            <w:noWrap w:val="0"/>
            <w:vAlign w:val="center"/>
          </w:tcPr>
          <w:p w14:paraId="57BE0E1C">
            <w:pPr>
              <w:rPr>
                <w:rFonts w:hint="eastAsia" w:ascii="宋体" w:hAnsi="宋体" w:eastAsia="宋体" w:cs="宋体"/>
                <w:sz w:val="24"/>
                <w:szCs w:val="24"/>
              </w:rPr>
            </w:pPr>
          </w:p>
        </w:tc>
      </w:tr>
      <w:tr w14:paraId="7749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18" w:type="dxa"/>
            <w:vMerge w:val="continue"/>
            <w:tcBorders>
              <w:top w:val="single" w:color="auto" w:sz="12" w:space="0"/>
              <w:left w:val="single" w:color="auto" w:sz="12" w:space="0"/>
              <w:bottom w:val="single" w:color="auto" w:sz="6" w:space="0"/>
              <w:right w:val="single" w:color="auto" w:sz="6" w:space="0"/>
            </w:tcBorders>
            <w:noWrap w:val="0"/>
            <w:vAlign w:val="center"/>
          </w:tcPr>
          <w:p w14:paraId="5AF4149E">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1C33F21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住    所</w:t>
            </w:r>
          </w:p>
          <w:p w14:paraId="77770174">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4615" w:type="dxa"/>
            <w:tcBorders>
              <w:top w:val="single" w:color="auto" w:sz="6" w:space="0"/>
              <w:left w:val="single" w:color="auto" w:sz="6" w:space="0"/>
              <w:bottom w:val="single" w:color="auto" w:sz="6" w:space="0"/>
              <w:right w:val="single" w:color="auto" w:sz="4" w:space="0"/>
            </w:tcBorders>
            <w:noWrap w:val="0"/>
            <w:vAlign w:val="center"/>
          </w:tcPr>
          <w:p w14:paraId="1F0F0ED5">
            <w:pPr>
              <w:spacing w:line="360" w:lineRule="exact"/>
              <w:jc w:val="center"/>
              <w:rPr>
                <w:rFonts w:hint="eastAsia" w:ascii="宋体" w:hAnsi="宋体" w:eastAsia="宋体" w:cs="宋体"/>
                <w:sz w:val="24"/>
                <w:szCs w:val="24"/>
                <w:lang w:eastAsia="zh-CN"/>
              </w:rPr>
            </w:pPr>
            <w:r>
              <w:rPr>
                <w:rFonts w:hint="eastAsia" w:ascii="宋体" w:hAnsi="宋体" w:cs="宋体"/>
                <w:color w:val="000000"/>
                <w:sz w:val="24"/>
                <w:szCs w:val="24"/>
                <w:lang w:val="en-US" w:eastAsia="zh-CN"/>
              </w:rPr>
              <w:t xml:space="preserve">广汉市贵阳路二段103号 </w:t>
            </w:r>
          </w:p>
        </w:tc>
        <w:tc>
          <w:tcPr>
            <w:tcW w:w="1896" w:type="dxa"/>
            <w:vMerge w:val="continue"/>
            <w:tcBorders>
              <w:top w:val="single" w:color="auto" w:sz="12" w:space="0"/>
              <w:left w:val="single" w:color="auto" w:sz="4" w:space="0"/>
              <w:bottom w:val="single" w:color="auto" w:sz="6" w:space="0"/>
              <w:right w:val="single" w:color="auto" w:sz="12" w:space="0"/>
            </w:tcBorders>
            <w:noWrap w:val="0"/>
            <w:vAlign w:val="center"/>
          </w:tcPr>
          <w:p w14:paraId="7434D81E">
            <w:pPr>
              <w:rPr>
                <w:rFonts w:hint="eastAsia" w:ascii="宋体" w:hAnsi="宋体" w:eastAsia="宋体" w:cs="宋体"/>
                <w:sz w:val="24"/>
                <w:szCs w:val="24"/>
              </w:rPr>
            </w:pPr>
          </w:p>
        </w:tc>
      </w:tr>
      <w:tr w14:paraId="538B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718" w:type="dxa"/>
            <w:vMerge w:val="continue"/>
            <w:tcBorders>
              <w:top w:val="single" w:color="auto" w:sz="12" w:space="0"/>
              <w:left w:val="single" w:color="auto" w:sz="12" w:space="0"/>
              <w:bottom w:val="single" w:color="auto" w:sz="6" w:space="0"/>
              <w:right w:val="single" w:color="auto" w:sz="6" w:space="0"/>
            </w:tcBorders>
            <w:noWrap w:val="0"/>
            <w:vAlign w:val="center"/>
          </w:tcPr>
          <w:p w14:paraId="34ED8BAB">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07331F5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615" w:type="dxa"/>
            <w:tcBorders>
              <w:top w:val="single" w:color="auto" w:sz="6" w:space="0"/>
              <w:left w:val="single" w:color="auto" w:sz="6" w:space="0"/>
              <w:bottom w:val="single" w:color="auto" w:sz="6" w:space="0"/>
              <w:right w:val="single" w:color="auto" w:sz="4" w:space="0"/>
            </w:tcBorders>
            <w:noWrap w:val="0"/>
            <w:vAlign w:val="top"/>
          </w:tcPr>
          <w:p w14:paraId="3CFA18E9">
            <w:pPr>
              <w:spacing w:line="360" w:lineRule="exact"/>
              <w:rPr>
                <w:rFonts w:hint="eastAsia" w:ascii="宋体" w:hAnsi="宋体" w:eastAsia="宋体" w:cs="宋体"/>
                <w:sz w:val="24"/>
                <w:szCs w:val="24"/>
                <w:lang w:eastAsia="zh-CN"/>
              </w:rPr>
            </w:pPr>
          </w:p>
        </w:tc>
        <w:tc>
          <w:tcPr>
            <w:tcW w:w="1896" w:type="dxa"/>
            <w:vMerge w:val="continue"/>
            <w:tcBorders>
              <w:top w:val="single" w:color="auto" w:sz="12" w:space="0"/>
              <w:left w:val="single" w:color="auto" w:sz="4" w:space="0"/>
              <w:bottom w:val="single" w:color="auto" w:sz="6" w:space="0"/>
              <w:right w:val="single" w:color="auto" w:sz="12" w:space="0"/>
            </w:tcBorders>
            <w:noWrap w:val="0"/>
            <w:vAlign w:val="center"/>
          </w:tcPr>
          <w:p w14:paraId="2F292442">
            <w:pPr>
              <w:rPr>
                <w:rFonts w:hint="eastAsia" w:ascii="宋体" w:hAnsi="宋体" w:eastAsia="宋体" w:cs="宋体"/>
                <w:sz w:val="24"/>
                <w:szCs w:val="24"/>
              </w:rPr>
            </w:pPr>
          </w:p>
        </w:tc>
      </w:tr>
      <w:tr w14:paraId="1858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718" w:type="dxa"/>
            <w:vMerge w:val="continue"/>
            <w:tcBorders>
              <w:top w:val="single" w:color="auto" w:sz="12" w:space="0"/>
              <w:left w:val="single" w:color="auto" w:sz="12" w:space="0"/>
              <w:bottom w:val="single" w:color="auto" w:sz="6" w:space="0"/>
              <w:right w:val="single" w:color="auto" w:sz="6" w:space="0"/>
            </w:tcBorders>
            <w:noWrap w:val="0"/>
            <w:vAlign w:val="center"/>
          </w:tcPr>
          <w:p w14:paraId="7C9D8F86">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72E83CD8">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号</w:t>
            </w:r>
          </w:p>
        </w:tc>
        <w:tc>
          <w:tcPr>
            <w:tcW w:w="4615" w:type="dxa"/>
            <w:tcBorders>
              <w:top w:val="single" w:color="auto" w:sz="6" w:space="0"/>
              <w:left w:val="single" w:color="auto" w:sz="6" w:space="0"/>
              <w:bottom w:val="single" w:color="auto" w:sz="6" w:space="0"/>
              <w:right w:val="single" w:color="auto" w:sz="4" w:space="0"/>
            </w:tcBorders>
            <w:noWrap w:val="0"/>
            <w:vAlign w:val="top"/>
          </w:tcPr>
          <w:p w14:paraId="115DD630">
            <w:pPr>
              <w:spacing w:line="360" w:lineRule="exact"/>
              <w:jc w:val="center"/>
              <w:rPr>
                <w:rFonts w:hint="eastAsia" w:ascii="宋体" w:hAnsi="宋体" w:eastAsia="宋体" w:cs="宋体"/>
                <w:sz w:val="24"/>
                <w:szCs w:val="24"/>
                <w:lang w:eastAsia="zh-CN"/>
              </w:rPr>
            </w:pPr>
          </w:p>
        </w:tc>
        <w:tc>
          <w:tcPr>
            <w:tcW w:w="1896" w:type="dxa"/>
            <w:vMerge w:val="continue"/>
            <w:tcBorders>
              <w:top w:val="single" w:color="auto" w:sz="12" w:space="0"/>
              <w:left w:val="single" w:color="auto" w:sz="4" w:space="0"/>
              <w:bottom w:val="single" w:color="auto" w:sz="6" w:space="0"/>
              <w:right w:val="single" w:color="auto" w:sz="12" w:space="0"/>
            </w:tcBorders>
            <w:noWrap w:val="0"/>
            <w:vAlign w:val="center"/>
          </w:tcPr>
          <w:p w14:paraId="08E9CCFA">
            <w:pPr>
              <w:rPr>
                <w:rFonts w:hint="eastAsia" w:ascii="宋体" w:hAnsi="宋体" w:eastAsia="宋体" w:cs="宋体"/>
                <w:sz w:val="24"/>
                <w:szCs w:val="24"/>
              </w:rPr>
            </w:pPr>
          </w:p>
        </w:tc>
      </w:tr>
      <w:tr w14:paraId="44E0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18" w:type="dxa"/>
            <w:vMerge w:val="restart"/>
            <w:tcBorders>
              <w:top w:val="single" w:color="auto" w:sz="6" w:space="0"/>
              <w:left w:val="single" w:color="auto" w:sz="12" w:space="0"/>
              <w:right w:val="single" w:color="auto" w:sz="6" w:space="0"/>
            </w:tcBorders>
            <w:noWrap w:val="0"/>
            <w:textDirection w:val="tbRlV"/>
            <w:vAlign w:val="center"/>
          </w:tcPr>
          <w:p w14:paraId="07A48BAF">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  方</w:t>
            </w:r>
          </w:p>
        </w:tc>
        <w:tc>
          <w:tcPr>
            <w:tcW w:w="1969" w:type="dxa"/>
            <w:tcBorders>
              <w:top w:val="single" w:color="auto" w:sz="6" w:space="0"/>
              <w:left w:val="single" w:color="auto" w:sz="6" w:space="0"/>
              <w:bottom w:val="single" w:color="auto" w:sz="6" w:space="0"/>
              <w:right w:val="single" w:color="auto" w:sz="6" w:space="0"/>
            </w:tcBorders>
            <w:noWrap w:val="0"/>
            <w:vAlign w:val="center"/>
          </w:tcPr>
          <w:p w14:paraId="678269C8">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单位名称</w:t>
            </w:r>
          </w:p>
        </w:tc>
        <w:tc>
          <w:tcPr>
            <w:tcW w:w="4615" w:type="dxa"/>
            <w:tcBorders>
              <w:top w:val="single" w:color="auto" w:sz="6" w:space="0"/>
              <w:left w:val="single" w:color="auto" w:sz="6" w:space="0"/>
              <w:bottom w:val="single" w:color="auto" w:sz="6" w:space="0"/>
              <w:right w:val="single" w:color="auto" w:sz="4" w:space="0"/>
            </w:tcBorders>
            <w:noWrap w:val="0"/>
            <w:vAlign w:val="center"/>
          </w:tcPr>
          <w:p w14:paraId="1B7DF9A2">
            <w:pPr>
              <w:spacing w:line="360" w:lineRule="exact"/>
              <w:jc w:val="center"/>
              <w:rPr>
                <w:rFonts w:hint="eastAsia" w:ascii="宋体" w:hAnsi="宋体" w:eastAsia="宋体" w:cs="宋体"/>
                <w:color w:val="000000"/>
                <w:sz w:val="24"/>
                <w:szCs w:val="24"/>
                <w:lang w:val="en-US" w:eastAsia="zh-CN"/>
              </w:rPr>
            </w:pPr>
          </w:p>
        </w:tc>
        <w:tc>
          <w:tcPr>
            <w:tcW w:w="1896" w:type="dxa"/>
            <w:vMerge w:val="restart"/>
            <w:tcBorders>
              <w:top w:val="single" w:color="auto" w:sz="6" w:space="0"/>
              <w:left w:val="single" w:color="auto" w:sz="4" w:space="0"/>
              <w:right w:val="single" w:color="auto" w:sz="12" w:space="0"/>
            </w:tcBorders>
            <w:noWrap w:val="0"/>
            <w:vAlign w:val="center"/>
          </w:tcPr>
          <w:p w14:paraId="6C914B5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合同专用章</w:t>
            </w:r>
          </w:p>
          <w:p w14:paraId="7CD6707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或</w:t>
            </w:r>
          </w:p>
          <w:p w14:paraId="5135E961">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单位公章</w:t>
            </w:r>
          </w:p>
          <w:p w14:paraId="70561B82">
            <w:pPr>
              <w:jc w:val="center"/>
              <w:rPr>
                <w:rFonts w:hint="eastAsia" w:ascii="宋体" w:hAnsi="宋体" w:eastAsia="宋体" w:cs="宋体"/>
                <w:sz w:val="24"/>
                <w:szCs w:val="24"/>
              </w:rPr>
            </w:pPr>
          </w:p>
          <w:p w14:paraId="7ED5A282">
            <w:pPr>
              <w:jc w:val="center"/>
              <w:rPr>
                <w:rFonts w:hint="eastAsia" w:ascii="宋体" w:hAnsi="宋体" w:eastAsia="宋体" w:cs="宋体"/>
                <w:sz w:val="24"/>
                <w:szCs w:val="24"/>
              </w:rPr>
            </w:pPr>
          </w:p>
          <w:p w14:paraId="5A0396E6">
            <w:pPr>
              <w:jc w:val="center"/>
              <w:rPr>
                <w:rFonts w:hint="eastAsia" w:ascii="宋体" w:hAnsi="宋体" w:eastAsia="宋体" w:cs="宋体"/>
                <w:sz w:val="24"/>
                <w:szCs w:val="24"/>
              </w:rPr>
            </w:pPr>
          </w:p>
          <w:p w14:paraId="7AA5B82A">
            <w:pPr>
              <w:jc w:val="both"/>
              <w:rPr>
                <w:rFonts w:hint="eastAsia" w:ascii="宋体" w:hAnsi="宋体" w:eastAsia="宋体" w:cs="宋体"/>
                <w:sz w:val="24"/>
                <w:szCs w:val="24"/>
              </w:rPr>
            </w:pPr>
          </w:p>
          <w:p w14:paraId="1E21A246">
            <w:pPr>
              <w:jc w:val="center"/>
              <w:rPr>
                <w:rFonts w:hint="eastAsia" w:ascii="宋体" w:hAnsi="宋体" w:eastAsia="宋体" w:cs="宋体"/>
                <w:sz w:val="24"/>
                <w:szCs w:val="24"/>
              </w:rPr>
            </w:pPr>
          </w:p>
          <w:p w14:paraId="5111281F">
            <w:pPr>
              <w:jc w:val="center"/>
              <w:rPr>
                <w:rFonts w:hint="eastAsia" w:ascii="宋体" w:hAnsi="宋体" w:eastAsia="宋体" w:cs="宋体"/>
                <w:sz w:val="24"/>
                <w:szCs w:val="24"/>
              </w:rPr>
            </w:pPr>
          </w:p>
          <w:p w14:paraId="4D5EFAAF">
            <w:pPr>
              <w:jc w:val="center"/>
              <w:rPr>
                <w:rFonts w:hint="eastAsia" w:ascii="宋体" w:hAnsi="宋体" w:eastAsia="宋体" w:cs="宋体"/>
                <w:sz w:val="24"/>
                <w:szCs w:val="24"/>
              </w:rPr>
            </w:pPr>
          </w:p>
          <w:p w14:paraId="151E7D74">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年  月  日</w:t>
            </w:r>
          </w:p>
        </w:tc>
      </w:tr>
      <w:tr w14:paraId="2D87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18" w:type="dxa"/>
            <w:vMerge w:val="continue"/>
            <w:tcBorders>
              <w:left w:val="single" w:color="auto" w:sz="12" w:space="0"/>
              <w:right w:val="single" w:color="auto" w:sz="6" w:space="0"/>
            </w:tcBorders>
            <w:noWrap w:val="0"/>
            <w:vAlign w:val="center"/>
          </w:tcPr>
          <w:p w14:paraId="1E3147E8">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576D3050">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法定代表人</w:t>
            </w:r>
          </w:p>
        </w:tc>
        <w:tc>
          <w:tcPr>
            <w:tcW w:w="4615" w:type="dxa"/>
            <w:tcBorders>
              <w:top w:val="single" w:color="auto" w:sz="6" w:space="0"/>
              <w:left w:val="single" w:color="auto" w:sz="6" w:space="0"/>
              <w:bottom w:val="single" w:color="auto" w:sz="6" w:space="0"/>
              <w:right w:val="single" w:color="auto" w:sz="4" w:space="0"/>
            </w:tcBorders>
            <w:noWrap w:val="0"/>
            <w:vAlign w:val="center"/>
          </w:tcPr>
          <w:p w14:paraId="01EC173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（签字或盖章）</w:t>
            </w:r>
          </w:p>
        </w:tc>
        <w:tc>
          <w:tcPr>
            <w:tcW w:w="1896" w:type="dxa"/>
            <w:vMerge w:val="continue"/>
            <w:tcBorders>
              <w:left w:val="single" w:color="auto" w:sz="4" w:space="0"/>
              <w:right w:val="single" w:color="auto" w:sz="12" w:space="0"/>
            </w:tcBorders>
            <w:noWrap w:val="0"/>
            <w:vAlign w:val="center"/>
          </w:tcPr>
          <w:p w14:paraId="5BA505B5">
            <w:pPr>
              <w:rPr>
                <w:rFonts w:hint="eastAsia" w:ascii="宋体" w:hAnsi="宋体" w:eastAsia="宋体" w:cs="宋体"/>
                <w:sz w:val="24"/>
                <w:szCs w:val="24"/>
              </w:rPr>
            </w:pPr>
          </w:p>
        </w:tc>
      </w:tr>
      <w:tr w14:paraId="2057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18" w:type="dxa"/>
            <w:vMerge w:val="continue"/>
            <w:tcBorders>
              <w:left w:val="single" w:color="auto" w:sz="12" w:space="0"/>
              <w:right w:val="single" w:color="auto" w:sz="6" w:space="0"/>
            </w:tcBorders>
            <w:noWrap w:val="0"/>
            <w:vAlign w:val="center"/>
          </w:tcPr>
          <w:p w14:paraId="09DB0FDD">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03A5D5D9">
            <w:pPr>
              <w:spacing w:line="360" w:lineRule="exact"/>
              <w:jc w:val="center"/>
              <w:rPr>
                <w:rFonts w:hint="eastAsia" w:ascii="宋体" w:hAnsi="宋体" w:eastAsia="宋体" w:cs="宋体"/>
                <w:color w:val="000000"/>
                <w:sz w:val="24"/>
                <w:szCs w:val="24"/>
                <w:lang w:val="en-US" w:eastAsia="zh-CN"/>
              </w:rPr>
            </w:pPr>
            <w:r>
              <w:rPr>
                <w:rFonts w:hint="eastAsia"/>
                <w:sz w:val="16"/>
                <w:szCs w:val="16"/>
                <w:lang w:val="en-US" w:eastAsia="zh-CN"/>
              </w:rPr>
              <w:t>统一社会信用代码</w:t>
            </w:r>
          </w:p>
        </w:tc>
        <w:tc>
          <w:tcPr>
            <w:tcW w:w="4615" w:type="dxa"/>
            <w:tcBorders>
              <w:top w:val="single" w:color="auto" w:sz="6" w:space="0"/>
              <w:left w:val="single" w:color="auto" w:sz="6" w:space="0"/>
              <w:bottom w:val="single" w:color="auto" w:sz="6" w:space="0"/>
              <w:right w:val="single" w:color="auto" w:sz="4" w:space="0"/>
            </w:tcBorders>
            <w:noWrap w:val="0"/>
            <w:vAlign w:val="center"/>
          </w:tcPr>
          <w:p w14:paraId="557D381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000000"/>
                <w:sz w:val="24"/>
                <w:szCs w:val="24"/>
                <w:lang w:val="en-US" w:eastAsia="zh-CN"/>
              </w:rPr>
            </w:pPr>
          </w:p>
        </w:tc>
        <w:tc>
          <w:tcPr>
            <w:tcW w:w="1896" w:type="dxa"/>
            <w:vMerge w:val="continue"/>
            <w:tcBorders>
              <w:left w:val="single" w:color="auto" w:sz="4" w:space="0"/>
              <w:right w:val="single" w:color="auto" w:sz="12" w:space="0"/>
            </w:tcBorders>
            <w:noWrap w:val="0"/>
            <w:vAlign w:val="center"/>
          </w:tcPr>
          <w:p w14:paraId="3AE1D3FC">
            <w:pPr>
              <w:rPr>
                <w:rFonts w:hint="eastAsia" w:ascii="宋体" w:hAnsi="宋体" w:eastAsia="宋体" w:cs="宋体"/>
                <w:sz w:val="24"/>
                <w:szCs w:val="24"/>
              </w:rPr>
            </w:pPr>
          </w:p>
        </w:tc>
      </w:tr>
      <w:tr w14:paraId="0E11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718" w:type="dxa"/>
            <w:vMerge w:val="continue"/>
            <w:tcBorders>
              <w:left w:val="single" w:color="auto" w:sz="12" w:space="0"/>
              <w:right w:val="single" w:color="auto" w:sz="6" w:space="0"/>
            </w:tcBorders>
            <w:noWrap w:val="0"/>
            <w:vAlign w:val="center"/>
          </w:tcPr>
          <w:p w14:paraId="4303D98E">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413B05EA">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住    所</w:t>
            </w:r>
          </w:p>
          <w:p w14:paraId="02C7A1D5">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（通信地址）</w:t>
            </w:r>
          </w:p>
        </w:tc>
        <w:tc>
          <w:tcPr>
            <w:tcW w:w="4615" w:type="dxa"/>
            <w:tcBorders>
              <w:top w:val="single" w:color="auto" w:sz="6" w:space="0"/>
              <w:left w:val="single" w:color="auto" w:sz="6" w:space="0"/>
              <w:bottom w:val="single" w:color="auto" w:sz="6" w:space="0"/>
              <w:right w:val="single" w:color="auto" w:sz="4" w:space="0"/>
            </w:tcBorders>
            <w:noWrap w:val="0"/>
            <w:vAlign w:val="center"/>
          </w:tcPr>
          <w:p w14:paraId="249EF141">
            <w:pPr>
              <w:spacing w:line="360" w:lineRule="exact"/>
              <w:rPr>
                <w:rFonts w:hint="eastAsia" w:ascii="宋体" w:hAnsi="宋体" w:eastAsia="宋体" w:cs="宋体"/>
                <w:color w:val="000000"/>
                <w:sz w:val="24"/>
                <w:szCs w:val="24"/>
                <w:lang w:val="en-US" w:eastAsia="zh-CN"/>
              </w:rPr>
            </w:pPr>
          </w:p>
        </w:tc>
        <w:tc>
          <w:tcPr>
            <w:tcW w:w="1896" w:type="dxa"/>
            <w:vMerge w:val="continue"/>
            <w:tcBorders>
              <w:left w:val="single" w:color="auto" w:sz="4" w:space="0"/>
              <w:right w:val="single" w:color="auto" w:sz="12" w:space="0"/>
            </w:tcBorders>
            <w:noWrap w:val="0"/>
            <w:vAlign w:val="center"/>
          </w:tcPr>
          <w:p w14:paraId="1C331DDD">
            <w:pPr>
              <w:rPr>
                <w:rFonts w:hint="eastAsia" w:ascii="宋体" w:hAnsi="宋体" w:eastAsia="宋体" w:cs="宋体"/>
                <w:sz w:val="24"/>
                <w:szCs w:val="24"/>
              </w:rPr>
            </w:pPr>
          </w:p>
        </w:tc>
      </w:tr>
      <w:tr w14:paraId="5C9E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18" w:type="dxa"/>
            <w:vMerge w:val="continue"/>
            <w:tcBorders>
              <w:left w:val="single" w:color="auto" w:sz="12" w:space="0"/>
              <w:right w:val="single" w:color="auto" w:sz="6" w:space="0"/>
            </w:tcBorders>
            <w:noWrap w:val="0"/>
            <w:vAlign w:val="center"/>
          </w:tcPr>
          <w:p w14:paraId="18A41FB5">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center"/>
          </w:tcPr>
          <w:p w14:paraId="5CFC2D6A">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开户银行</w:t>
            </w:r>
          </w:p>
        </w:tc>
        <w:tc>
          <w:tcPr>
            <w:tcW w:w="4615" w:type="dxa"/>
            <w:tcBorders>
              <w:top w:val="single" w:color="auto" w:sz="6" w:space="0"/>
              <w:left w:val="single" w:color="auto" w:sz="6" w:space="0"/>
              <w:bottom w:val="single" w:color="auto" w:sz="6" w:space="0"/>
              <w:right w:val="single" w:color="auto" w:sz="4" w:space="0"/>
            </w:tcBorders>
            <w:noWrap w:val="0"/>
            <w:vAlign w:val="center"/>
          </w:tcPr>
          <w:p w14:paraId="629CA79F">
            <w:pPr>
              <w:spacing w:line="360" w:lineRule="exact"/>
              <w:jc w:val="center"/>
              <w:rPr>
                <w:rFonts w:hint="eastAsia" w:ascii="宋体" w:hAnsi="宋体" w:eastAsia="宋体" w:cs="宋体"/>
                <w:color w:val="000000"/>
                <w:sz w:val="24"/>
                <w:szCs w:val="24"/>
                <w:lang w:val="en-US" w:eastAsia="zh-CN"/>
              </w:rPr>
            </w:pPr>
          </w:p>
        </w:tc>
        <w:tc>
          <w:tcPr>
            <w:tcW w:w="1896" w:type="dxa"/>
            <w:vMerge w:val="continue"/>
            <w:tcBorders>
              <w:left w:val="single" w:color="auto" w:sz="4" w:space="0"/>
              <w:right w:val="single" w:color="auto" w:sz="12" w:space="0"/>
            </w:tcBorders>
            <w:noWrap w:val="0"/>
            <w:vAlign w:val="top"/>
          </w:tcPr>
          <w:p w14:paraId="5A09E51B">
            <w:pPr>
              <w:rPr>
                <w:rFonts w:hint="eastAsia" w:ascii="宋体" w:hAnsi="宋体" w:eastAsia="宋体" w:cs="宋体"/>
                <w:sz w:val="24"/>
                <w:szCs w:val="24"/>
              </w:rPr>
            </w:pPr>
          </w:p>
        </w:tc>
      </w:tr>
      <w:tr w14:paraId="0329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18" w:type="dxa"/>
            <w:vMerge w:val="continue"/>
            <w:tcBorders>
              <w:left w:val="single" w:color="auto" w:sz="12" w:space="0"/>
              <w:bottom w:val="single" w:color="auto" w:sz="12" w:space="0"/>
              <w:right w:val="single" w:color="auto" w:sz="6" w:space="0"/>
            </w:tcBorders>
            <w:noWrap w:val="0"/>
            <w:vAlign w:val="center"/>
          </w:tcPr>
          <w:p w14:paraId="2C9E6EF8">
            <w:pPr>
              <w:rPr>
                <w:rFonts w:hint="eastAsia" w:ascii="宋体" w:hAnsi="宋体" w:eastAsia="宋体" w:cs="宋体"/>
                <w:sz w:val="24"/>
                <w:szCs w:val="24"/>
              </w:rPr>
            </w:pPr>
          </w:p>
        </w:tc>
        <w:tc>
          <w:tcPr>
            <w:tcW w:w="1969" w:type="dxa"/>
            <w:tcBorders>
              <w:top w:val="single" w:color="auto" w:sz="6" w:space="0"/>
              <w:left w:val="single" w:color="auto" w:sz="6" w:space="0"/>
              <w:bottom w:val="single" w:color="auto" w:sz="12" w:space="0"/>
              <w:right w:val="single" w:color="auto" w:sz="6" w:space="0"/>
            </w:tcBorders>
            <w:noWrap w:val="0"/>
            <w:vAlign w:val="center"/>
          </w:tcPr>
          <w:p w14:paraId="386B9368">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账   号</w:t>
            </w:r>
          </w:p>
        </w:tc>
        <w:tc>
          <w:tcPr>
            <w:tcW w:w="4615" w:type="dxa"/>
            <w:tcBorders>
              <w:top w:val="single" w:color="auto" w:sz="6" w:space="0"/>
              <w:left w:val="single" w:color="auto" w:sz="6" w:space="0"/>
              <w:bottom w:val="single" w:color="auto" w:sz="12" w:space="0"/>
              <w:right w:val="single" w:color="auto" w:sz="4" w:space="0"/>
            </w:tcBorders>
            <w:noWrap w:val="0"/>
            <w:vAlign w:val="center"/>
          </w:tcPr>
          <w:p w14:paraId="13589E63">
            <w:pPr>
              <w:spacing w:line="360" w:lineRule="exact"/>
              <w:jc w:val="center"/>
              <w:rPr>
                <w:rFonts w:hint="eastAsia" w:ascii="宋体" w:hAnsi="宋体" w:eastAsia="宋体" w:cs="宋体"/>
                <w:color w:val="000000"/>
                <w:sz w:val="24"/>
                <w:szCs w:val="24"/>
                <w:lang w:val="en-US" w:eastAsia="zh-CN"/>
              </w:rPr>
            </w:pPr>
          </w:p>
        </w:tc>
        <w:tc>
          <w:tcPr>
            <w:tcW w:w="1896" w:type="dxa"/>
            <w:vMerge w:val="continue"/>
            <w:tcBorders>
              <w:left w:val="single" w:color="auto" w:sz="4" w:space="0"/>
              <w:bottom w:val="single" w:color="auto" w:sz="12" w:space="0"/>
              <w:right w:val="single" w:color="auto" w:sz="12" w:space="0"/>
            </w:tcBorders>
            <w:noWrap w:val="0"/>
            <w:vAlign w:val="top"/>
          </w:tcPr>
          <w:p w14:paraId="708EE688">
            <w:pPr>
              <w:rPr>
                <w:rFonts w:hint="eastAsia" w:ascii="宋体" w:hAnsi="宋体" w:eastAsia="宋体" w:cs="宋体"/>
                <w:sz w:val="24"/>
                <w:szCs w:val="24"/>
              </w:rPr>
            </w:pPr>
          </w:p>
        </w:tc>
      </w:tr>
    </w:tbl>
    <w:p w14:paraId="1F3273BE">
      <w:pPr>
        <w:pStyle w:val="11"/>
        <w:tabs>
          <w:tab w:val="left" w:pos="567"/>
        </w:tabs>
        <w:ind w:firstLine="210"/>
        <w:rPr>
          <w:rFonts w:hint="eastAsia" w:ascii="宋体" w:hAnsi="宋体"/>
        </w:rPr>
      </w:pPr>
    </w:p>
    <w:p w14:paraId="19564DB1">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650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B0B4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B0B4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1A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zM3MDdmNDQ2M2UwMDc3MzA0YzY0OWUwMGE0MzYifQ=="/>
  </w:docVars>
  <w:rsids>
    <w:rsidRoot w:val="00000000"/>
    <w:rsid w:val="01AF1779"/>
    <w:rsid w:val="0681408C"/>
    <w:rsid w:val="074E310F"/>
    <w:rsid w:val="0CE9663A"/>
    <w:rsid w:val="1CA5660A"/>
    <w:rsid w:val="1D81772B"/>
    <w:rsid w:val="1FD90FAF"/>
    <w:rsid w:val="2ADB689F"/>
    <w:rsid w:val="2DB079C7"/>
    <w:rsid w:val="2FDD7429"/>
    <w:rsid w:val="307C5A50"/>
    <w:rsid w:val="38EE74C8"/>
    <w:rsid w:val="41BC1BB9"/>
    <w:rsid w:val="4B667F63"/>
    <w:rsid w:val="4DE44F0E"/>
    <w:rsid w:val="5120323A"/>
    <w:rsid w:val="53892BBB"/>
    <w:rsid w:val="587B6886"/>
    <w:rsid w:val="597D0686"/>
    <w:rsid w:val="5DAB78D0"/>
    <w:rsid w:val="691F3DE6"/>
    <w:rsid w:val="74115A83"/>
    <w:rsid w:val="749C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00" w:beforeLines="300" w:beforeAutospacing="0" w:after="200" w:afterLines="200" w:afterAutospacing="0" w:line="360" w:lineRule="auto"/>
      <w:jc w:val="center"/>
      <w:outlineLvl w:val="0"/>
    </w:pPr>
    <w:rPr>
      <w:rFonts w:eastAsia="华文中宋"/>
      <w:b/>
      <w:kern w:val="44"/>
      <w:sz w:val="44"/>
    </w:rPr>
  </w:style>
  <w:style w:type="paragraph" w:styleId="3">
    <w:name w:val="heading 2"/>
    <w:basedOn w:val="1"/>
    <w:next w:val="1"/>
    <w:autoRedefine/>
    <w:semiHidden/>
    <w:unhideWhenUsed/>
    <w:qFormat/>
    <w:uiPriority w:val="0"/>
    <w:pPr>
      <w:keepNext/>
      <w:keepLines/>
      <w:spacing w:before="100" w:beforeLines="100" w:beforeAutospacing="0" w:after="100" w:afterLines="100" w:afterAutospacing="0" w:line="360" w:lineRule="auto"/>
      <w:ind w:firstLine="0" w:firstLineChars="0"/>
      <w:outlineLvl w:val="1"/>
    </w:pPr>
    <w:rPr>
      <w:rFonts w:ascii="Arial" w:hAnsi="Arial" w:eastAsia="黑体"/>
      <w:sz w:val="30"/>
    </w:rPr>
  </w:style>
  <w:style w:type="paragraph" w:styleId="4">
    <w:name w:val="heading 3"/>
    <w:basedOn w:val="1"/>
    <w:next w:val="1"/>
    <w:link w:val="17"/>
    <w:autoRedefine/>
    <w:semiHidden/>
    <w:unhideWhenUsed/>
    <w:qFormat/>
    <w:uiPriority w:val="0"/>
    <w:pPr>
      <w:keepNext/>
      <w:keepLines/>
      <w:spacing w:before="100" w:beforeLines="100" w:beforeAutospacing="0" w:after="100" w:afterLines="100" w:afterAutospacing="0" w:line="360" w:lineRule="auto"/>
      <w:ind w:firstLine="0" w:firstLineChars="0"/>
      <w:outlineLvl w:val="2"/>
    </w:pPr>
    <w:rPr>
      <w:rFonts w:eastAsia="黑体"/>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autoRedefine/>
    <w:qFormat/>
    <w:uiPriority w:val="0"/>
    <w:pPr>
      <w:spacing w:after="120"/>
    </w:pPr>
  </w:style>
  <w:style w:type="paragraph" w:styleId="7">
    <w:name w:val="Body Text Indent"/>
    <w:basedOn w:val="1"/>
    <w:qFormat/>
    <w:uiPriority w:val="0"/>
    <w:pPr>
      <w:spacing w:after="120"/>
      <w:ind w:left="420" w:leftChars="200"/>
    </w:pPr>
  </w:style>
  <w:style w:type="paragraph" w:styleId="8">
    <w:name w:val="footer"/>
    <w:basedOn w:val="1"/>
    <w:semiHidden/>
    <w:qFormat/>
    <w:uiPriority w:val="99"/>
    <w:pPr>
      <w:tabs>
        <w:tab w:val="center" w:pos="4153"/>
        <w:tab w:val="right" w:pos="8306"/>
      </w:tabs>
      <w:snapToGrid w:val="0"/>
      <w:jc w:val="left"/>
    </w:pPr>
    <w:rPr>
      <w:sz w:val="18"/>
      <w:szCs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autoRedefine/>
    <w:qFormat/>
    <w:uiPriority w:val="0"/>
    <w:pPr>
      <w:ind w:firstLine="420" w:firstLineChars="100"/>
    </w:pPr>
  </w:style>
  <w:style w:type="paragraph" w:styleId="12">
    <w:name w:val="Body Text First Indent 2"/>
    <w:basedOn w:val="7"/>
    <w:next w:val="1"/>
    <w:qFormat/>
    <w:uiPriority w:val="0"/>
    <w:pPr>
      <w:ind w:firstLine="640" w:firstLineChars="200"/>
    </w:p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标题 3 Char"/>
    <w:link w:val="4"/>
    <w:autoRedefine/>
    <w:qFormat/>
    <w:uiPriority w:val="0"/>
    <w:rPr>
      <w:rFonts w:eastAsia="黑体" w:asciiTheme="minorAscii" w:hAnsiTheme="minorAscii"/>
      <w:sz w:val="24"/>
    </w:rPr>
  </w:style>
  <w:style w:type="paragraph" w:customStyle="1" w:styleId="18">
    <w:name w:val="标题 5（有编号）（绿盟科技）"/>
    <w:basedOn w:val="1"/>
    <w:next w:val="19"/>
    <w:autoRedefine/>
    <w:qFormat/>
    <w:uiPriority w:val="0"/>
    <w:pPr>
      <w:keepNext/>
      <w:keepLines/>
      <w:numPr>
        <w:ilvl w:val="4"/>
        <w:numId w:val="1"/>
      </w:numPr>
      <w:tabs>
        <w:tab w:val="left" w:pos="0"/>
      </w:tabs>
      <w:spacing w:before="280" w:after="156" w:line="377" w:lineRule="auto"/>
      <w:outlineLvl w:val="4"/>
    </w:pPr>
    <w:rPr>
      <w:rFonts w:ascii="Arial" w:hAnsi="Arial" w:eastAsia="黑体"/>
      <w:b/>
      <w:szCs w:val="28"/>
    </w:rPr>
  </w:style>
  <w:style w:type="paragraph" w:customStyle="1" w:styleId="19">
    <w:name w:val="正文（绿盟科技）"/>
    <w:qFormat/>
    <w:uiPriority w:val="99"/>
    <w:pPr>
      <w:spacing w:line="300" w:lineRule="auto"/>
    </w:pPr>
    <w:rPr>
      <w:rFonts w:ascii="Arial" w:hAnsi="Arial" w:eastAsia="宋体" w:cs="Arial"/>
      <w:sz w:val="21"/>
      <w:szCs w:val="21"/>
      <w:lang w:val="en-US" w:eastAsia="zh-CN" w:bidi="ar-SA"/>
    </w:rPr>
  </w:style>
  <w:style w:type="paragraph" w:styleId="20">
    <w:name w:val="Quote"/>
    <w:next w:val="1"/>
    <w:autoRedefine/>
    <w:qFormat/>
    <w:uiPriority w:val="0"/>
    <w:rPr>
      <w:rFonts w:ascii="Times New Roman" w:hAnsi="Times New Roman" w:eastAsia="宋体" w:cs="Times New Roman"/>
      <w:i/>
      <w:iCs/>
      <w:color w:val="000000"/>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1103</Words>
  <Characters>1118</Characters>
  <Lines>0</Lines>
  <Paragraphs>0</Paragraphs>
  <TotalTime>0</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Administrator</dc:creator>
  <cp:lastModifiedBy>傀儡</cp:lastModifiedBy>
  <dcterms:modified xsi:type="dcterms:W3CDTF">2025-03-10T06:54:22Z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3A86BDFD063E403A9F5B72A4556E1230_12</vt:lpwstr>
  </property>
  <property fmtid="{D5CDD505-2E9C-101B-9397-08002B2CF9AE}" pid="4" name="KSOTemplateDocerSaveRecord">
    <vt:lpwstr>eyJoZGlkIjoiYzgzMzM3MDdmNDQ2M2UwMDc3MzA0YzY0OWUwMGE0MzYiLCJ1c2VySWQiOiI1MTg2MTYyNjkifQ==</vt:lpwstr>
  </property>
</Properties>
</file>