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16"/>
        </w:tabs>
        <w:bidi w:val="0"/>
        <w:jc w:val="left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>
      <w:pPr>
        <w:spacing w:before="318" w:line="446" w:lineRule="exact"/>
        <w:ind w:left="3703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308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广汉市弘诚金雁宾馆有限责任公司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金雁宾馆咖啡厅采购家具供应商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600" w:lineRule="exact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34"/>
        <w:gridCol w:w="916"/>
        <w:gridCol w:w="700"/>
        <w:gridCol w:w="367"/>
        <w:gridCol w:w="517"/>
        <w:gridCol w:w="483"/>
        <w:gridCol w:w="550"/>
        <w:gridCol w:w="4033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236" w:type="dxa"/>
            <w:gridSpan w:val="10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金雁宾馆咖啡厅家具报价明细表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规格型号（m）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1085850</wp:posOffset>
                  </wp:positionV>
                  <wp:extent cx="467995" cy="541655"/>
                  <wp:effectExtent l="0" t="0" r="8255" b="10795"/>
                  <wp:wrapNone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650*770*790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料：需采用优质面料，触感舒适，质量需符合GB/T16799-2018、QB/T1952.1-2012的标准，2、主体框架：需采用环保优质橡胶木实木框架，结构稳定、坚固耐用，经防潮、防虫、防腐处理，刚性好、不变形，不开裂，符合GB/T3324-2017和GB18584-2001标准，3、海绵:坐感舒适、经久耐用，海绵质量符合GB/T 1080-2006的标准；4、抱枕：优质布艺；5、油漆：经二底一面工艺，硬度高，符合国家环保要求，需符合GB 24410-2009标准；6、五金件：优质锌合金，耐用坚固、防锈，符合GB/T28203-2011、QB/T 1242-2021、QB/T3827-1999（2009）、QB/T3832-1999(2009)的标准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扶手有造型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481965</wp:posOffset>
                  </wp:positionV>
                  <wp:extent cx="446405" cy="528955"/>
                  <wp:effectExtent l="0" t="0" r="10795" b="4445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1200*600*650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1、面材：选用优质木皮贴面，木纹纹路自然清晰，厚度均匀，需符合GB/T3324-2017和GB18584-2001标准，2.五金件：优质锌合金，耐用坚固、防锈，符合GB/T28203-2011、QB/T 1242-2021、QB/T3827-1999（2009）、QB/T3832-1999(2009)的标准；3.材质：优质的实木多层板、结构稳定、坚固耐用，经防潮、防虫、防腐处理，刚性好、不变形，不开裂，符合GB/T3324-2017和GB18584-2001标准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725805</wp:posOffset>
                  </wp:positionV>
                  <wp:extent cx="393700" cy="371475"/>
                  <wp:effectExtent l="0" t="0" r="6350" b="9525"/>
                  <wp:wrapNone/>
                  <wp:docPr id="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1300*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770*790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料：需采用优质面料，触感舒适，质量需符合GB/T16799-2018、QB/T1952.1-2012的标准，2、主体框架：需采用环保优质橡胶木实木框架，结构稳定、坚固耐用，经防潮、防虫、防腐处理，刚性好、不变形，不开裂，符合GB/T3324-2017和GB18584-2001标准，3、海绵:坐感舒适、经久耐用，海绵质量符合GB/T 1080-2006的标准；4、抱枕：优质布艺；5、油漆：经二底一面工艺，硬度高，符合国家环保要求，需符合GB 24410-2009标准；6、五金件：优质锌合金，耐用坚固、防锈，符合GB/T28203-2011、QB/T 1242-2021、QB/T3827-1999（2009）、QB/T3832-1999(2009)的标准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扶手有造型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装饰柜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558165</wp:posOffset>
                  </wp:positionV>
                  <wp:extent cx="330200" cy="713105"/>
                  <wp:effectExtent l="0" t="0" r="12700" b="10795"/>
                  <wp:wrapNone/>
                  <wp:docPr id="4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1500*1900*300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1、面材：选用优质木皮贴面，木纹纹路自然清晰，厚度均匀，需符合GB/T3324-2017和GB18584-2001标准，2.五金件：优质锌合金，耐用坚固、防锈，符合GB/T28203-2011、QB/T 1242-2021、QB/T3827-1999（2009）、QB/T3832-1999(2009)的标准；3.材质：优质的实木多层板、结构稳定、坚固耐用，经防潮、防虫、防腐处理，刚性好、不变形，不开裂，符合GB/T3324-2017和GB18584-2001标准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spacing w:before="163" w:line="417" w:lineRule="exact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>
      <w:pPr>
        <w:pStyle w:val="2"/>
        <w:spacing w:before="78" w:line="376" w:lineRule="auto"/>
        <w:ind w:right="2" w:firstLine="544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</w:rPr>
        <w:t>税费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  <w:lang w:val="en-US" w:eastAsia="zh-CN"/>
        </w:rPr>
        <w:t>材料费、运输费等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  <w:t>后续服务费。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>
      <w:pPr>
        <w:pStyle w:val="2"/>
        <w:tabs>
          <w:tab w:val="left" w:pos="8055"/>
        </w:tabs>
        <w:spacing w:before="101" w:line="336" w:lineRule="auto"/>
        <w:ind w:right="673" w:firstLine="4004" w:firstLineChars="1300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280" w:firstLineChars="10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23E6238D"/>
    <w:rsid w:val="23E6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2025-02-27T02:03:00Z</dcterms:created>
  <dc:creator>浩南</dc:creator>
  <cp:lastModifiedBy>浩南</cp:lastModifiedBy>
  <dcterms:modified xsi:type="dcterms:W3CDTF">2025-02-27T02:03:55Z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E8D917F17913484D8B38E2A45112D855_11</vt:lpwstr>
  </property>
</Properties>
</file>