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AC9E"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544238D9">
      <w:pPr>
        <w:rPr>
          <w:rFonts w:hint="default" w:ascii="Times New Roman" w:hAnsi="Times New Roman" w:cs="Times New Roman"/>
          <w:lang w:val="en-US" w:eastAsia="zh-CN"/>
        </w:rPr>
      </w:pPr>
    </w:p>
    <w:p w14:paraId="79A86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6FA1BC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采购收并购广汉市供水工程尽职调查服务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6140A4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1C4D9F5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注：所有报价均用人民币表示，其总价即为履行合同的固定价格，包括但不限于人工费、交通费、差旅费、税费、利润、保险、报告编制等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22FDD469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0FEFF1C0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A0DF895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6D5D86E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38E1CF11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3384FA5C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6787ACE5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9E70C2F">
      <w:pPr>
        <w:pStyle w:val="3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5159D8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36359AC"/>
    <w:rsid w:val="16C17241"/>
    <w:rsid w:val="1D81772B"/>
    <w:rsid w:val="23B34E4F"/>
    <w:rsid w:val="36BA1348"/>
    <w:rsid w:val="4B667F63"/>
    <w:rsid w:val="51C84709"/>
    <w:rsid w:val="57D75D02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2024-11-20T05:27:18Z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3A86BDFD063E403A9F5B72A4556E1230_12</vt:lpwstr>
  </property>
</Properties>
</file>