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A96EF">
      <w:pPr>
        <w:pStyle w:val="4"/>
        <w:spacing w:before="100" w:line="224" w:lineRule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5EAAD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黑体简体" w:hAnsi="方正黑体简体" w:eastAsia="方正黑体简体" w:cs="方正黑体简体"/>
          <w:bCs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Cs/>
          <w:snapToGrid/>
          <w:kern w:val="2"/>
          <w:sz w:val="44"/>
          <w:szCs w:val="44"/>
          <w:lang w:val="en-US" w:eastAsia="zh-CN"/>
        </w:rPr>
        <w:t>调研报价表</w:t>
      </w:r>
    </w:p>
    <w:p w14:paraId="0EACD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  <w:t>注：1.</w:t>
      </w:r>
      <w:r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  <w:t>费用报价表可根据实际情况调整</w:t>
      </w:r>
      <w:r>
        <w:rPr>
          <w:rFonts w:hint="eastAsia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  <w:t>。</w:t>
      </w:r>
    </w:p>
    <w:p w14:paraId="6FD40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  <w:r>
        <w:rPr>
          <w:rFonts w:hint="eastAsia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简体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以上报价已包含税收费用。</w:t>
      </w:r>
    </w:p>
    <w:p w14:paraId="7574BB71">
      <w:pPr>
        <w:bidi w:val="0"/>
        <w:rPr>
          <w:lang w:val="en-US" w:eastAsia="en-US"/>
        </w:rPr>
      </w:pPr>
    </w:p>
    <w:tbl>
      <w:tblPr>
        <w:tblStyle w:val="7"/>
        <w:tblpPr w:leftFromText="180" w:rightFromText="180" w:vertAnchor="page" w:horzAnchor="page" w:tblpX="1481" w:tblpY="3357"/>
        <w:tblOverlap w:val="never"/>
        <w:tblW w:w="905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686"/>
        <w:gridCol w:w="1425"/>
        <w:gridCol w:w="1516"/>
        <w:gridCol w:w="1869"/>
        <w:gridCol w:w="1639"/>
        <w:gridCol w:w="1062"/>
      </w:tblGrid>
      <w:tr w14:paraId="0783FB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860" w:type="dxa"/>
            <w:tcBorders>
              <w:left w:val="single" w:color="000000" w:sz="2" w:space="0"/>
              <w:bottom w:val="single" w:color="auto" w:sz="4" w:space="0"/>
            </w:tcBorders>
          </w:tcPr>
          <w:p w14:paraId="787A12FF">
            <w:pPr>
              <w:pStyle w:val="9"/>
              <w:spacing w:before="9"/>
              <w:rPr>
                <w:sz w:val="24"/>
              </w:rPr>
            </w:pPr>
          </w:p>
          <w:p w14:paraId="2718B08E">
            <w:pPr>
              <w:pStyle w:val="9"/>
              <w:ind w:left="199" w:right="13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686" w:type="dxa"/>
            <w:vAlign w:val="center"/>
          </w:tcPr>
          <w:p w14:paraId="4B661BE3">
            <w:pPr>
              <w:pStyle w:val="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人数</w:t>
            </w:r>
          </w:p>
        </w:tc>
        <w:tc>
          <w:tcPr>
            <w:tcW w:w="1425" w:type="dxa"/>
            <w:tcBorders>
              <w:right w:val="single" w:color="000000" w:sz="2" w:space="0"/>
            </w:tcBorders>
          </w:tcPr>
          <w:p w14:paraId="7855C967">
            <w:pPr>
              <w:pStyle w:val="9"/>
              <w:spacing w:before="7"/>
              <w:rPr>
                <w:sz w:val="23"/>
              </w:rPr>
            </w:pPr>
          </w:p>
          <w:p w14:paraId="1E14A26F">
            <w:pPr>
              <w:pStyle w:val="9"/>
              <w:ind w:right="99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费用构成</w:t>
            </w:r>
          </w:p>
        </w:tc>
        <w:tc>
          <w:tcPr>
            <w:tcW w:w="1516" w:type="dxa"/>
            <w:tcBorders>
              <w:left w:val="single" w:color="000000" w:sz="2" w:space="0"/>
            </w:tcBorders>
            <w:vAlign w:val="center"/>
          </w:tcPr>
          <w:p w14:paraId="25C59F77">
            <w:pPr>
              <w:pStyle w:val="9"/>
              <w:jc w:val="center"/>
              <w:rPr>
                <w:rFonts w:hint="eastAsia" w:eastAsia="宋体"/>
                <w:sz w:val="23"/>
                <w:lang w:eastAsia="zh-CN"/>
              </w:rPr>
            </w:pPr>
            <w:r>
              <w:rPr>
                <w:rFonts w:hint="eastAsia"/>
                <w:w w:val="105"/>
                <w:sz w:val="23"/>
                <w:lang w:val="en-US" w:eastAsia="zh-CN"/>
              </w:rPr>
              <w:t>金额（元）</w:t>
            </w:r>
          </w:p>
        </w:tc>
        <w:tc>
          <w:tcPr>
            <w:tcW w:w="1869" w:type="dxa"/>
          </w:tcPr>
          <w:p w14:paraId="569D89E5">
            <w:pPr>
              <w:pStyle w:val="9"/>
              <w:spacing w:before="187" w:line="269" w:lineRule="exact"/>
              <w:ind w:left="132" w:right="95"/>
              <w:jc w:val="center"/>
              <w:rPr>
                <w:sz w:val="23"/>
              </w:rPr>
            </w:pPr>
            <w:r>
              <w:rPr>
                <w:rFonts w:hint="eastAsia"/>
                <w:w w:val="105"/>
                <w:sz w:val="23"/>
                <w:lang w:val="en-US" w:eastAsia="zh-CN"/>
              </w:rPr>
              <w:t>月</w:t>
            </w:r>
            <w:r>
              <w:rPr>
                <w:w w:val="105"/>
                <w:sz w:val="23"/>
              </w:rPr>
              <w:t>合计总价</w:t>
            </w:r>
          </w:p>
          <w:p w14:paraId="1815C216">
            <w:pPr>
              <w:pStyle w:val="9"/>
              <w:spacing w:line="333" w:lineRule="exact"/>
              <w:ind w:left="115" w:right="95"/>
              <w:jc w:val="center"/>
              <w:rPr>
                <w:sz w:val="28"/>
              </w:rPr>
            </w:pPr>
            <w:r>
              <w:rPr>
                <w:w w:val="75"/>
                <w:sz w:val="28"/>
              </w:rPr>
              <w:t>（元）</w:t>
            </w:r>
          </w:p>
        </w:tc>
        <w:tc>
          <w:tcPr>
            <w:tcW w:w="1639" w:type="dxa"/>
          </w:tcPr>
          <w:p w14:paraId="5C0B27E9">
            <w:pPr>
              <w:pStyle w:val="9"/>
              <w:spacing w:before="187" w:line="269" w:lineRule="exact"/>
              <w:ind w:right="95"/>
              <w:jc w:val="center"/>
              <w:rPr>
                <w:sz w:val="23"/>
              </w:rPr>
            </w:pPr>
            <w:r>
              <w:rPr>
                <w:rFonts w:hint="eastAsia"/>
                <w:w w:val="105"/>
                <w:sz w:val="23"/>
                <w:lang w:val="en-US" w:eastAsia="zh-CN"/>
              </w:rPr>
              <w:t>年</w:t>
            </w:r>
            <w:r>
              <w:rPr>
                <w:w w:val="105"/>
                <w:sz w:val="23"/>
              </w:rPr>
              <w:t>合计总价</w:t>
            </w:r>
          </w:p>
          <w:p w14:paraId="052881E9">
            <w:pPr>
              <w:pStyle w:val="9"/>
              <w:ind w:left="304"/>
              <w:rPr>
                <w:rFonts w:hint="eastAsia" w:eastAsia="宋体"/>
                <w:sz w:val="23"/>
                <w:lang w:eastAsia="zh-CN"/>
              </w:rPr>
            </w:pPr>
            <w:r>
              <w:rPr>
                <w:w w:val="75"/>
                <w:sz w:val="28"/>
              </w:rPr>
              <w:t>（元）</w:t>
            </w:r>
          </w:p>
        </w:tc>
        <w:tc>
          <w:tcPr>
            <w:tcW w:w="1062" w:type="dxa"/>
          </w:tcPr>
          <w:p w14:paraId="06877059">
            <w:pPr>
              <w:pStyle w:val="9"/>
              <w:ind w:left="304"/>
              <w:rPr>
                <w:rFonts w:hint="eastAsia"/>
                <w:sz w:val="23"/>
                <w:lang w:val="en-US" w:eastAsia="zh-CN"/>
              </w:rPr>
            </w:pPr>
          </w:p>
          <w:p w14:paraId="17891121">
            <w:pPr>
              <w:pStyle w:val="9"/>
              <w:ind w:left="304"/>
              <w:rPr>
                <w:rFonts w:hint="eastAsia" w:eastAsia="宋体"/>
                <w:sz w:val="23"/>
                <w:lang w:val="en-US" w:eastAsia="zh-CN"/>
              </w:rPr>
            </w:pPr>
            <w:r>
              <w:rPr>
                <w:rFonts w:hint="eastAsia"/>
                <w:sz w:val="23"/>
                <w:lang w:val="en-US" w:eastAsia="zh-CN"/>
              </w:rPr>
              <w:t>备注</w:t>
            </w:r>
          </w:p>
        </w:tc>
      </w:tr>
      <w:tr w14:paraId="196F30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A64F6E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6" w:type="dxa"/>
            <w:vMerge w:val="restart"/>
            <w:tcBorders>
              <w:left w:val="single" w:color="auto" w:sz="4" w:space="0"/>
            </w:tcBorders>
            <w:vAlign w:val="center"/>
          </w:tcPr>
          <w:p w14:paraId="1CE2EF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0" w:leftChars="0" w:right="0" w:rightChars="0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2"/>
                <w:sz w:val="32"/>
                <w:szCs w:val="32"/>
                <w:u w:val="none"/>
                <w:lang w:val="en-US" w:eastAsia="zh-CN"/>
              </w:rPr>
              <w:t>4名消防设施操作人员</w:t>
            </w:r>
          </w:p>
        </w:tc>
        <w:tc>
          <w:tcPr>
            <w:tcW w:w="1425" w:type="dxa"/>
            <w:tcBorders>
              <w:bottom w:val="single" w:color="auto" w:sz="4" w:space="0"/>
              <w:right w:val="single" w:color="000000" w:sz="2" w:space="0"/>
            </w:tcBorders>
            <w:vAlign w:val="center"/>
          </w:tcPr>
          <w:p w14:paraId="2316CDD9">
            <w:pPr>
              <w:pStyle w:val="9"/>
              <w:spacing w:line="299" w:lineRule="exact"/>
              <w:ind w:right="59"/>
              <w:jc w:val="center"/>
              <w:rPr>
                <w:rFonts w:hint="default" w:eastAsia="宋体"/>
                <w:sz w:val="25"/>
                <w:lang w:val="en-US" w:eastAsia="zh-CN"/>
              </w:rPr>
            </w:pPr>
            <w:r>
              <w:rPr>
                <w:rFonts w:hint="eastAsia"/>
                <w:w w:val="85"/>
                <w:sz w:val="25"/>
                <w:lang w:val="en-US" w:eastAsia="zh-CN"/>
              </w:rPr>
              <w:t>......</w:t>
            </w:r>
          </w:p>
        </w:tc>
        <w:tc>
          <w:tcPr>
            <w:tcW w:w="1516" w:type="dxa"/>
            <w:tcBorders>
              <w:left w:val="single" w:color="000000" w:sz="2" w:space="0"/>
              <w:bottom w:val="single" w:color="auto" w:sz="4" w:space="0"/>
            </w:tcBorders>
          </w:tcPr>
          <w:p w14:paraId="0B4FC390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69" w:type="dxa"/>
            <w:vMerge w:val="restart"/>
          </w:tcPr>
          <w:p w14:paraId="678599C9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39" w:type="dxa"/>
            <w:vMerge w:val="restart"/>
          </w:tcPr>
          <w:p w14:paraId="1FB57DAD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62" w:type="dxa"/>
            <w:vMerge w:val="restart"/>
          </w:tcPr>
          <w:p w14:paraId="36C1B1C7">
            <w:pPr>
              <w:pStyle w:val="9"/>
              <w:rPr>
                <w:rFonts w:ascii="Times New Roman"/>
                <w:sz w:val="26"/>
              </w:rPr>
            </w:pPr>
          </w:p>
        </w:tc>
      </w:tr>
      <w:tr w14:paraId="3B8F9E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4D25A1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86" w:type="dxa"/>
            <w:vMerge w:val="continue"/>
            <w:tcBorders>
              <w:left w:val="single" w:color="auto" w:sz="4" w:space="0"/>
            </w:tcBorders>
            <w:vAlign w:val="top"/>
          </w:tcPr>
          <w:p w14:paraId="32A14DE3">
            <w:pPr>
              <w:bidi w:val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63154F5">
            <w:pPr>
              <w:spacing w:line="242" w:lineRule="exact"/>
              <w:ind w:right="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w w:val="85"/>
                <w:kern w:val="0"/>
                <w:sz w:val="25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85"/>
                <w:kern w:val="0"/>
                <w:sz w:val="25"/>
                <w:szCs w:val="21"/>
                <w:lang w:val="en-US" w:eastAsia="zh-CN" w:bidi="ar-SA"/>
              </w:rPr>
              <w:t>......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</w:tcPr>
          <w:p w14:paraId="19DF58D2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69" w:type="dxa"/>
            <w:vMerge w:val="continue"/>
          </w:tcPr>
          <w:p w14:paraId="4DE8E6CF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39" w:type="dxa"/>
            <w:vMerge w:val="continue"/>
          </w:tcPr>
          <w:p w14:paraId="7595A372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62" w:type="dxa"/>
            <w:vMerge w:val="continue"/>
          </w:tcPr>
          <w:p w14:paraId="60E5CBA0">
            <w:pPr>
              <w:pStyle w:val="9"/>
              <w:rPr>
                <w:rFonts w:ascii="Times New Roman"/>
                <w:sz w:val="26"/>
              </w:rPr>
            </w:pPr>
          </w:p>
        </w:tc>
      </w:tr>
      <w:tr w14:paraId="5E5A63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4A5FA12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86" w:type="dxa"/>
            <w:vMerge w:val="continue"/>
            <w:tcBorders>
              <w:left w:val="single" w:color="auto" w:sz="4" w:space="0"/>
            </w:tcBorders>
            <w:vAlign w:val="top"/>
          </w:tcPr>
          <w:p w14:paraId="24826488">
            <w:pPr>
              <w:bidi w:val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D3D4FFA">
            <w:pPr>
              <w:spacing w:line="24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w w:val="85"/>
                <w:kern w:val="0"/>
                <w:sz w:val="25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85"/>
                <w:kern w:val="0"/>
                <w:sz w:val="25"/>
                <w:szCs w:val="21"/>
                <w:lang w:val="en-US" w:eastAsia="zh-CN" w:bidi="ar-SA"/>
              </w:rPr>
              <w:t>......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</w:tcPr>
          <w:p w14:paraId="2F439D4F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69" w:type="dxa"/>
            <w:vMerge w:val="continue"/>
          </w:tcPr>
          <w:p w14:paraId="77388F9E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39" w:type="dxa"/>
            <w:vMerge w:val="continue"/>
          </w:tcPr>
          <w:p w14:paraId="11B40E5E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62" w:type="dxa"/>
            <w:vMerge w:val="continue"/>
          </w:tcPr>
          <w:p w14:paraId="738803A7">
            <w:pPr>
              <w:pStyle w:val="9"/>
              <w:rPr>
                <w:rFonts w:ascii="Times New Roman"/>
                <w:sz w:val="26"/>
              </w:rPr>
            </w:pPr>
          </w:p>
        </w:tc>
      </w:tr>
      <w:tr w14:paraId="4854DB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8D3CE10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86" w:type="dxa"/>
            <w:vMerge w:val="continue"/>
            <w:tcBorders>
              <w:left w:val="single" w:color="auto" w:sz="4" w:space="0"/>
            </w:tcBorders>
            <w:vAlign w:val="top"/>
          </w:tcPr>
          <w:p w14:paraId="3E74DDC6">
            <w:pPr>
              <w:bidi w:val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AA7C395">
            <w:pPr>
              <w:spacing w:line="24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w w:val="85"/>
                <w:kern w:val="0"/>
                <w:sz w:val="25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85"/>
                <w:kern w:val="0"/>
                <w:sz w:val="25"/>
                <w:szCs w:val="21"/>
                <w:lang w:val="en-US" w:eastAsia="zh-CN" w:bidi="ar-SA"/>
              </w:rPr>
              <w:t>......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</w:tcPr>
          <w:p w14:paraId="72FBE6D0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69" w:type="dxa"/>
            <w:vMerge w:val="continue"/>
          </w:tcPr>
          <w:p w14:paraId="6754BD57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39" w:type="dxa"/>
            <w:vMerge w:val="continue"/>
          </w:tcPr>
          <w:p w14:paraId="503A6156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62" w:type="dxa"/>
            <w:vMerge w:val="continue"/>
          </w:tcPr>
          <w:p w14:paraId="7569AAB7">
            <w:pPr>
              <w:pStyle w:val="9"/>
              <w:rPr>
                <w:rFonts w:ascii="Times New Roman"/>
                <w:sz w:val="26"/>
              </w:rPr>
            </w:pPr>
          </w:p>
        </w:tc>
      </w:tr>
      <w:tr w14:paraId="69D1BA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054CB9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86" w:type="dxa"/>
            <w:vMerge w:val="continue"/>
            <w:tcBorders>
              <w:left w:val="single" w:color="auto" w:sz="4" w:space="0"/>
            </w:tcBorders>
            <w:vAlign w:val="top"/>
          </w:tcPr>
          <w:p w14:paraId="334D3A54">
            <w:pPr>
              <w:bidi w:val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BB76F97">
            <w:pPr>
              <w:spacing w:line="247" w:lineRule="exact"/>
              <w:ind w:right="10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w w:val="85"/>
                <w:kern w:val="0"/>
                <w:sz w:val="25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85"/>
                <w:kern w:val="0"/>
                <w:sz w:val="25"/>
                <w:szCs w:val="21"/>
                <w:lang w:val="en-US" w:eastAsia="zh-CN" w:bidi="ar-SA"/>
              </w:rPr>
              <w:t>......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</w:tcPr>
          <w:p w14:paraId="1B342877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69" w:type="dxa"/>
            <w:vMerge w:val="continue"/>
          </w:tcPr>
          <w:p w14:paraId="40C4E8D6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39" w:type="dxa"/>
            <w:vMerge w:val="continue"/>
          </w:tcPr>
          <w:p w14:paraId="19ACC429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62" w:type="dxa"/>
            <w:vMerge w:val="continue"/>
          </w:tcPr>
          <w:p w14:paraId="06BF83F6">
            <w:pPr>
              <w:pStyle w:val="9"/>
              <w:rPr>
                <w:rFonts w:ascii="Times New Roman"/>
                <w:sz w:val="26"/>
              </w:rPr>
            </w:pPr>
          </w:p>
        </w:tc>
      </w:tr>
      <w:tr w14:paraId="755B8C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C137437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86" w:type="dxa"/>
            <w:vMerge w:val="continue"/>
            <w:tcBorders>
              <w:left w:val="single" w:color="auto" w:sz="4" w:space="0"/>
            </w:tcBorders>
            <w:vAlign w:val="top"/>
          </w:tcPr>
          <w:p w14:paraId="63222DBC">
            <w:pPr>
              <w:bidi w:val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7F8ED73">
            <w:pPr>
              <w:spacing w:line="247" w:lineRule="exact"/>
              <w:ind w:right="10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w w:val="85"/>
                <w:kern w:val="0"/>
                <w:sz w:val="25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85"/>
                <w:kern w:val="0"/>
                <w:sz w:val="25"/>
                <w:szCs w:val="21"/>
                <w:lang w:val="en-US" w:eastAsia="zh-CN" w:bidi="ar-SA"/>
              </w:rPr>
              <w:t>......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</w:tcPr>
          <w:p w14:paraId="7CE2740A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69" w:type="dxa"/>
            <w:vMerge w:val="continue"/>
          </w:tcPr>
          <w:p w14:paraId="0779EC7A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39" w:type="dxa"/>
            <w:vMerge w:val="continue"/>
          </w:tcPr>
          <w:p w14:paraId="69F76809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62" w:type="dxa"/>
            <w:vMerge w:val="continue"/>
          </w:tcPr>
          <w:p w14:paraId="0205FA8A">
            <w:pPr>
              <w:pStyle w:val="9"/>
              <w:rPr>
                <w:rFonts w:ascii="Times New Roman"/>
                <w:sz w:val="26"/>
              </w:rPr>
            </w:pPr>
          </w:p>
        </w:tc>
      </w:tr>
      <w:tr w14:paraId="515B49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58FC1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6" w:type="dxa"/>
            <w:vMerge w:val="restart"/>
            <w:tcBorders>
              <w:left w:val="single" w:color="auto" w:sz="4" w:space="0"/>
            </w:tcBorders>
            <w:vAlign w:val="top"/>
          </w:tcPr>
          <w:p w14:paraId="05A575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2"/>
                <w:sz w:val="32"/>
                <w:szCs w:val="32"/>
                <w:u w:val="none"/>
                <w:lang w:val="en-US" w:eastAsia="zh-CN"/>
              </w:rPr>
            </w:pPr>
          </w:p>
          <w:p w14:paraId="3B32FC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0" w:leftChars="0" w:right="0" w:rightChars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2"/>
                <w:sz w:val="32"/>
                <w:szCs w:val="32"/>
                <w:u w:val="none"/>
                <w:lang w:val="en-US" w:eastAsia="zh-CN"/>
              </w:rPr>
              <w:t>2名值守人员</w:t>
            </w: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34D349F">
            <w:pPr>
              <w:spacing w:line="299" w:lineRule="exact"/>
              <w:ind w:right="59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w w:val="85"/>
                <w:kern w:val="0"/>
                <w:sz w:val="25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85"/>
                <w:kern w:val="0"/>
                <w:sz w:val="25"/>
                <w:szCs w:val="21"/>
                <w:lang w:val="en-US" w:eastAsia="zh-CN" w:bidi="ar-SA"/>
              </w:rPr>
              <w:t>......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</w:tcPr>
          <w:p w14:paraId="29C68BB3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69" w:type="dxa"/>
            <w:vMerge w:val="restart"/>
          </w:tcPr>
          <w:p w14:paraId="09C53A0E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39" w:type="dxa"/>
            <w:vMerge w:val="restart"/>
          </w:tcPr>
          <w:p w14:paraId="730FD13C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62" w:type="dxa"/>
            <w:vMerge w:val="restart"/>
          </w:tcPr>
          <w:p w14:paraId="58C91135">
            <w:pPr>
              <w:pStyle w:val="9"/>
              <w:rPr>
                <w:rFonts w:ascii="Times New Roman"/>
                <w:sz w:val="26"/>
              </w:rPr>
            </w:pPr>
          </w:p>
        </w:tc>
      </w:tr>
      <w:tr w14:paraId="700F6C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CA24BA3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86" w:type="dxa"/>
            <w:vMerge w:val="continue"/>
            <w:tcBorders>
              <w:left w:val="single" w:color="auto" w:sz="4" w:space="0"/>
            </w:tcBorders>
            <w:vAlign w:val="top"/>
          </w:tcPr>
          <w:p w14:paraId="0CD9B5B2">
            <w:pPr>
              <w:bidi w:val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BA2C7A9">
            <w:pPr>
              <w:spacing w:line="242" w:lineRule="exact"/>
              <w:ind w:right="66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w w:val="85"/>
                <w:kern w:val="0"/>
                <w:sz w:val="25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85"/>
                <w:kern w:val="0"/>
                <w:sz w:val="25"/>
                <w:szCs w:val="21"/>
                <w:lang w:val="en-US" w:eastAsia="zh-CN" w:bidi="ar-SA"/>
              </w:rPr>
              <w:t>......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</w:tcPr>
          <w:p w14:paraId="395C935A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69" w:type="dxa"/>
            <w:vMerge w:val="continue"/>
          </w:tcPr>
          <w:p w14:paraId="5128370B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39" w:type="dxa"/>
            <w:vMerge w:val="continue"/>
          </w:tcPr>
          <w:p w14:paraId="47B0909B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62" w:type="dxa"/>
            <w:vMerge w:val="continue"/>
          </w:tcPr>
          <w:p w14:paraId="6466C5B7">
            <w:pPr>
              <w:pStyle w:val="9"/>
              <w:rPr>
                <w:rFonts w:ascii="Times New Roman"/>
                <w:sz w:val="26"/>
              </w:rPr>
            </w:pPr>
          </w:p>
        </w:tc>
      </w:tr>
      <w:tr w14:paraId="274B5B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02C72A2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86" w:type="dxa"/>
            <w:vMerge w:val="continue"/>
            <w:tcBorders>
              <w:left w:val="single" w:color="auto" w:sz="4" w:space="0"/>
            </w:tcBorders>
            <w:vAlign w:val="top"/>
          </w:tcPr>
          <w:p w14:paraId="2C408AEE">
            <w:pPr>
              <w:bidi w:val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5C813F2">
            <w:pPr>
              <w:spacing w:line="24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w w:val="85"/>
                <w:kern w:val="0"/>
                <w:sz w:val="25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85"/>
                <w:kern w:val="0"/>
                <w:sz w:val="25"/>
                <w:szCs w:val="21"/>
                <w:lang w:val="en-US" w:eastAsia="zh-CN" w:bidi="ar-SA"/>
              </w:rPr>
              <w:t>......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</w:tcPr>
          <w:p w14:paraId="6AD36279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69" w:type="dxa"/>
            <w:vMerge w:val="continue"/>
          </w:tcPr>
          <w:p w14:paraId="2EFA0192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39" w:type="dxa"/>
            <w:vMerge w:val="continue"/>
          </w:tcPr>
          <w:p w14:paraId="4FC47ED1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62" w:type="dxa"/>
            <w:vMerge w:val="continue"/>
          </w:tcPr>
          <w:p w14:paraId="038DF261">
            <w:pPr>
              <w:pStyle w:val="9"/>
              <w:rPr>
                <w:rFonts w:ascii="Times New Roman"/>
                <w:sz w:val="26"/>
              </w:rPr>
            </w:pPr>
          </w:p>
        </w:tc>
      </w:tr>
      <w:tr w14:paraId="0FC041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8BFC4B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86" w:type="dxa"/>
            <w:vMerge w:val="continue"/>
            <w:tcBorders>
              <w:left w:val="single" w:color="auto" w:sz="4" w:space="0"/>
            </w:tcBorders>
            <w:vAlign w:val="top"/>
          </w:tcPr>
          <w:p w14:paraId="01721B43">
            <w:pPr>
              <w:bidi w:val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043D849">
            <w:pPr>
              <w:spacing w:line="24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w w:val="85"/>
                <w:kern w:val="0"/>
                <w:sz w:val="25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85"/>
                <w:kern w:val="0"/>
                <w:sz w:val="25"/>
                <w:szCs w:val="21"/>
                <w:lang w:val="en-US" w:eastAsia="zh-CN" w:bidi="ar-SA"/>
              </w:rPr>
              <w:t>......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</w:tcPr>
          <w:p w14:paraId="0A0E0782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69" w:type="dxa"/>
            <w:vMerge w:val="continue"/>
          </w:tcPr>
          <w:p w14:paraId="426E4271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39" w:type="dxa"/>
            <w:vMerge w:val="continue"/>
          </w:tcPr>
          <w:p w14:paraId="16D3FDEF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62" w:type="dxa"/>
            <w:vMerge w:val="continue"/>
          </w:tcPr>
          <w:p w14:paraId="7591EBAF">
            <w:pPr>
              <w:pStyle w:val="9"/>
              <w:rPr>
                <w:rFonts w:ascii="Times New Roman"/>
                <w:sz w:val="26"/>
              </w:rPr>
            </w:pPr>
          </w:p>
        </w:tc>
      </w:tr>
      <w:tr w14:paraId="38F750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1F90B8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86" w:type="dxa"/>
            <w:vMerge w:val="continue"/>
            <w:tcBorders>
              <w:left w:val="single" w:color="auto" w:sz="4" w:space="0"/>
            </w:tcBorders>
            <w:vAlign w:val="top"/>
          </w:tcPr>
          <w:p w14:paraId="3FEC7316">
            <w:pPr>
              <w:bidi w:val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079EA52">
            <w:pPr>
              <w:spacing w:line="247" w:lineRule="exact"/>
              <w:ind w:right="109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w w:val="85"/>
                <w:kern w:val="0"/>
                <w:sz w:val="25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85"/>
                <w:kern w:val="0"/>
                <w:sz w:val="25"/>
                <w:szCs w:val="21"/>
                <w:lang w:val="en-US" w:eastAsia="zh-CN" w:bidi="ar-SA"/>
              </w:rPr>
              <w:t>......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</w:tcPr>
          <w:p w14:paraId="7ADCF115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69" w:type="dxa"/>
            <w:vMerge w:val="continue"/>
          </w:tcPr>
          <w:p w14:paraId="3F0610FE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39" w:type="dxa"/>
            <w:vMerge w:val="continue"/>
          </w:tcPr>
          <w:p w14:paraId="6547FACC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62" w:type="dxa"/>
            <w:vMerge w:val="continue"/>
          </w:tcPr>
          <w:p w14:paraId="57321531">
            <w:pPr>
              <w:pStyle w:val="9"/>
              <w:rPr>
                <w:rFonts w:ascii="Times New Roman"/>
                <w:sz w:val="26"/>
              </w:rPr>
            </w:pPr>
          </w:p>
        </w:tc>
      </w:tr>
      <w:tr w14:paraId="6AD58D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E18D72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86" w:type="dxa"/>
            <w:vMerge w:val="continue"/>
            <w:tcBorders>
              <w:left w:val="single" w:color="auto" w:sz="4" w:space="0"/>
            </w:tcBorders>
            <w:vAlign w:val="top"/>
          </w:tcPr>
          <w:p w14:paraId="1DEC552B">
            <w:pPr>
              <w:bidi w:val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F745924">
            <w:pPr>
              <w:spacing w:line="247" w:lineRule="exact"/>
              <w:ind w:right="109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w w:val="85"/>
                <w:kern w:val="0"/>
                <w:sz w:val="25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85"/>
                <w:kern w:val="0"/>
                <w:sz w:val="25"/>
                <w:szCs w:val="21"/>
                <w:lang w:val="en-US" w:eastAsia="zh-CN" w:bidi="ar-SA"/>
              </w:rPr>
              <w:t>......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</w:tcPr>
          <w:p w14:paraId="7D9CA12B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69" w:type="dxa"/>
            <w:vMerge w:val="continue"/>
          </w:tcPr>
          <w:p w14:paraId="6077E7D5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39" w:type="dxa"/>
            <w:vMerge w:val="continue"/>
          </w:tcPr>
          <w:p w14:paraId="70E0D045"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62" w:type="dxa"/>
            <w:vMerge w:val="continue"/>
          </w:tcPr>
          <w:p w14:paraId="7186E87F">
            <w:pPr>
              <w:pStyle w:val="9"/>
              <w:rPr>
                <w:rFonts w:ascii="Times New Roman"/>
                <w:sz w:val="26"/>
              </w:rPr>
            </w:pPr>
          </w:p>
        </w:tc>
      </w:tr>
      <w:tr w14:paraId="7E6E09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487" w:type="dxa"/>
            <w:gridSpan w:val="4"/>
            <w:tcBorders>
              <w:left w:val="single" w:color="auto" w:sz="4" w:space="0"/>
            </w:tcBorders>
          </w:tcPr>
          <w:p w14:paraId="5DD4B06D">
            <w:pPr>
              <w:pStyle w:val="9"/>
              <w:jc w:val="center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合计总价</w:t>
            </w:r>
            <w:r>
              <w:rPr>
                <w:w w:val="75"/>
                <w:sz w:val="28"/>
              </w:rPr>
              <w:t>（元）</w:t>
            </w:r>
          </w:p>
        </w:tc>
        <w:tc>
          <w:tcPr>
            <w:tcW w:w="3508" w:type="dxa"/>
            <w:gridSpan w:val="2"/>
          </w:tcPr>
          <w:p w14:paraId="555468E4">
            <w:pPr>
              <w:pStyle w:val="9"/>
              <w:rPr>
                <w:rFonts w:ascii="Times New Roman"/>
                <w:sz w:val="26"/>
              </w:rPr>
            </w:pPr>
            <w:bookmarkStart w:id="0" w:name="_GoBack"/>
            <w:bookmarkEnd w:id="0"/>
          </w:p>
        </w:tc>
        <w:tc>
          <w:tcPr>
            <w:tcW w:w="1062" w:type="dxa"/>
          </w:tcPr>
          <w:p w14:paraId="4D748162">
            <w:pPr>
              <w:pStyle w:val="9"/>
              <w:rPr>
                <w:rFonts w:ascii="Times New Roman"/>
                <w:sz w:val="26"/>
              </w:rPr>
            </w:pPr>
          </w:p>
        </w:tc>
      </w:tr>
    </w:tbl>
    <w:p w14:paraId="28EC3472">
      <w:pPr>
        <w:bidi w:val="0"/>
        <w:rPr>
          <w:lang w:val="en-US" w:eastAsia="en-US"/>
        </w:rPr>
      </w:pPr>
    </w:p>
    <w:p w14:paraId="7152E873">
      <w:pPr>
        <w:tabs>
          <w:tab w:val="left" w:pos="1176"/>
        </w:tabs>
        <w:bidi w:val="0"/>
        <w:jc w:val="left"/>
        <w:rPr>
          <w:rFonts w:hint="eastAsia" w:eastAsia="宋体"/>
          <w:lang w:val="en-US" w:eastAsia="zh-CN"/>
        </w:rPr>
      </w:pPr>
    </w:p>
    <w:p w14:paraId="3C4D278B"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 w14:paraId="207346BC">
      <w:pPr>
        <w:bidi w:val="0"/>
        <w:rPr>
          <w:rFonts w:hint="eastAsia"/>
          <w:lang w:val="en-US" w:eastAsia="zh-CN"/>
        </w:rPr>
      </w:pPr>
    </w:p>
    <w:p w14:paraId="387C964E">
      <w:pPr>
        <w:bidi w:val="0"/>
        <w:rPr>
          <w:rFonts w:hint="eastAsia"/>
          <w:lang w:val="en-US" w:eastAsia="zh-CN"/>
        </w:rPr>
      </w:pPr>
    </w:p>
    <w:p w14:paraId="441A74BD">
      <w:pPr>
        <w:bidi w:val="0"/>
        <w:rPr>
          <w:rFonts w:hint="eastAsia"/>
          <w:lang w:val="en-US" w:eastAsia="zh-CN"/>
        </w:rPr>
      </w:pPr>
    </w:p>
    <w:p w14:paraId="0358449F">
      <w:pPr>
        <w:bidi w:val="0"/>
        <w:rPr>
          <w:rFonts w:hint="eastAsia"/>
          <w:lang w:val="en-US" w:eastAsia="zh-CN"/>
        </w:rPr>
      </w:pPr>
    </w:p>
    <w:p w14:paraId="330314FE">
      <w:pPr>
        <w:bidi w:val="0"/>
        <w:rPr>
          <w:rFonts w:hint="eastAsia"/>
          <w:lang w:val="en-US" w:eastAsia="zh-CN"/>
        </w:rPr>
      </w:pPr>
    </w:p>
    <w:p w14:paraId="08ED7712">
      <w:pPr>
        <w:bidi w:val="0"/>
        <w:rPr>
          <w:rFonts w:hint="eastAsia"/>
          <w:lang w:val="en-US" w:eastAsia="zh-CN"/>
        </w:rPr>
      </w:pPr>
    </w:p>
    <w:p w14:paraId="32923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66E42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6B0F8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689C8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3355F5C9"/>
    <w:p w14:paraId="3F1E9798">
      <w:pPr>
        <w:tabs>
          <w:tab w:val="left" w:pos="1056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5089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1329E9">
                          <w:pPr>
                            <w:pStyle w:val="5"/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1329E9">
                    <w:pPr>
                      <w:pStyle w:val="5"/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NDc0ZDU0MGFiOTk5Y2NmYTRiMDBmMTA2YTMxNTAifQ=="/>
  </w:docVars>
  <w:rsids>
    <w:rsidRoot w:val="00000000"/>
    <w:rsid w:val="015D3C85"/>
    <w:rsid w:val="09AF70EB"/>
    <w:rsid w:val="0D446017"/>
    <w:rsid w:val="146F7A6E"/>
    <w:rsid w:val="172378C8"/>
    <w:rsid w:val="19BE523D"/>
    <w:rsid w:val="290F45B6"/>
    <w:rsid w:val="2AB63DD1"/>
    <w:rsid w:val="2B223BA1"/>
    <w:rsid w:val="33337333"/>
    <w:rsid w:val="496F4215"/>
    <w:rsid w:val="52E077A1"/>
    <w:rsid w:val="66421A74"/>
    <w:rsid w:val="6B5341D6"/>
    <w:rsid w:val="6E6B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56"/>
      <w:ind w:left="150"/>
      <w:outlineLvl w:val="1"/>
    </w:pPr>
    <w:rPr>
      <w:rFonts w:ascii="宋体" w:hAnsi="宋体" w:eastAsia="宋体" w:cs="宋体"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9">
    <w:name w:val="Table Paragraph"/>
    <w:basedOn w:val="1"/>
    <w:autoRedefine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186</Characters>
  <Lines>0</Lines>
  <Paragraphs>0</Paragraphs>
  <TotalTime>2</TotalTime>
  <ScaleCrop>false</ScaleCrop>
  <LinksUpToDate>false</LinksUpToDate>
  <CharactersWithSpaces>262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2024-07-30T09:57:00Z</dcterms:created>
  <dc:creator>HP</dc:creator>
  <cp:lastModifiedBy>Wik-</cp:lastModifiedBy>
  <cp:lastPrinted>2024-11-14T06:26:06Z</cp:lastPrinted>
  <dcterms:modified xsi:type="dcterms:W3CDTF">2024-11-14T06:26:10Z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F07CC917FB0A4C7AA749D7C3466D2F63_12</vt:lpwstr>
  </property>
</Properties>
</file>