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CE0B">
      <w:pPr>
        <w:pStyle w:val="2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 w14:paraId="243FAC9E">
      <w:pPr>
        <w:pStyle w:val="2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第二污水处理厂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污泥危废鉴定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该费用为固定包干费用，包括但不限于样品采集、报告编制、备案服务、人工费、交通费、差旅费、评审费、税费、利润、保险等费用等为完成本项目约定事项的所有费用，以及后续服务费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16022A62">
      <w:pPr>
        <w:ind w:firstLine="2400" w:firstLineChars="10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16C17241"/>
    <w:rsid w:val="1D81772B"/>
    <w:rsid w:val="23B34E4F"/>
    <w:rsid w:val="2D1412E3"/>
    <w:rsid w:val="42DC2130"/>
    <w:rsid w:val="4B667F63"/>
    <w:rsid w:val="51C84709"/>
    <w:rsid w:val="539008EE"/>
    <w:rsid w:val="5DAB78D0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315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2024-09-09T07:13:02Z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3A86BDFD063E403A9F5B72A4556E1230_12</vt:lpwstr>
  </property>
</Properties>
</file>