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45D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 w14:paraId="34178B2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合同编号：YHWL-CGHT00X</w:t>
      </w:r>
    </w:p>
    <w:p w14:paraId="397AD06D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986EA8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85C1D3D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861E23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9BE6D1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金雁宾馆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有害生物防治服务</w:t>
      </w:r>
    </w:p>
    <w:p w14:paraId="58FD1AEF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采购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合同</w:t>
      </w:r>
    </w:p>
    <w:p w14:paraId="541909E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8D929A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C64B82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A1D15A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F224EA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2B30378"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EF169DF">
      <w:pPr>
        <w:rPr>
          <w:rFonts w:hint="default"/>
        </w:rPr>
      </w:pPr>
    </w:p>
    <w:p w14:paraId="3D064D4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3CA417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甲方（采购方）：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3193DAC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乙方（服务方）：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3B36CA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</w:p>
    <w:p w14:paraId="0DA225C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根据《中华人民共和国民法典》和全国爱卫会、卫生部联合下发的《病媒生物预防控制管理规定》，经甲、乙双方协商，就甲方委托乙方防治有害生物服务事宜，签订以下服务合同，供双方共同遵守。</w:t>
      </w:r>
    </w:p>
    <w:p w14:paraId="0FDDBA87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防治服务目标、服务方式</w:t>
      </w:r>
    </w:p>
    <w:p w14:paraId="7B63BF5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乙方根据甲方单位的特点和防治种类采取规范、综合防治措施，有效降低和控制卫生虫害密度并达到合同约定的密度控制水平。</w:t>
      </w:r>
    </w:p>
    <w:p w14:paraId="6845F41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乙方派出专业防治技术人员，指导甲方实施病媒生物控制国家标准规定的三防设施建设和完善。</w:t>
      </w:r>
    </w:p>
    <w:p w14:paraId="06F1FDFA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二、防治对象、范围及费用</w:t>
      </w:r>
    </w:p>
    <w:p w14:paraId="375953C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防治靶标害虫种类：_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u w:val="single"/>
        </w:rPr>
        <w:t>蟑螂，鼠类，苍蝇，蚊虫</w:t>
      </w:r>
      <w:r>
        <w:rPr>
          <w:rFonts w:hint="eastAsia" w:eastAsia="方正仿宋简体" w:cs="Times New Roman"/>
          <w:color w:val="333333"/>
          <w:kern w:val="0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u w:val="single"/>
        </w:rPr>
        <w:t>蛇_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。若甲方发生非靶标害虫孳生、骚扰，乙方应免费提供虫害咨询和防治方案，防治费用双方另行协商，不包含在本合同中。</w:t>
      </w:r>
    </w:p>
    <w:p w14:paraId="07A01F6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Times New Roman" w:hAnsi="Times New Roman" w:eastAsia="方正仿宋简体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防治范围是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u w:val="single"/>
        </w:rPr>
        <w:t>金雁宾馆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场所室内空间和所属外环境。防治面积：_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u w:val="single"/>
        </w:rPr>
        <w:t>12513.08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平方米，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u w:val="none"/>
        </w:rPr>
        <w:t>含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地下室、建筑屋顶等附属设施</w:t>
      </w:r>
      <w:r>
        <w:rPr>
          <w:rFonts w:hint="eastAsia" w:eastAsia="方正仿宋简体" w:cs="Times New Roman"/>
          <w:color w:val="333333"/>
          <w:kern w:val="0"/>
          <w:sz w:val="32"/>
          <w:szCs w:val="32"/>
          <w:lang w:val="en-US" w:eastAsia="zh-CN"/>
        </w:rPr>
        <w:t>及周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围所属的广场、绿地</w:t>
      </w:r>
      <w:r>
        <w:rPr>
          <w:rFonts w:hint="eastAsia" w:eastAsia="方正仿宋简体" w:cs="Times New Roman"/>
          <w:color w:val="333333"/>
          <w:kern w:val="0"/>
          <w:sz w:val="32"/>
          <w:szCs w:val="32"/>
          <w:lang w:eastAsia="zh-CN"/>
        </w:rPr>
        <w:t>。</w:t>
      </w:r>
    </w:p>
    <w:p w14:paraId="65C7C19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本项防治服务年服务费用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元整，折合每月服务费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  <w:t>元整。</w:t>
      </w:r>
    </w:p>
    <w:p w14:paraId="0274AC11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三、消杀标准及服务频率</w:t>
      </w:r>
    </w:p>
    <w:p w14:paraId="1CDA980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表1 有害生物控制达标要求</w:t>
      </w:r>
    </w:p>
    <w:tbl>
      <w:tblPr>
        <w:tblStyle w:val="5"/>
        <w:tblW w:w="98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7998"/>
      </w:tblGrid>
      <w:tr w14:paraId="47FF5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837391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防治靶标害虫</w:t>
            </w:r>
          </w:p>
        </w:tc>
        <w:tc>
          <w:tcPr>
            <w:tcW w:w="7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33017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防治目标</w:t>
            </w:r>
          </w:p>
        </w:tc>
      </w:tr>
      <w:tr w14:paraId="261A7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41A8CF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鼠类</w:t>
            </w:r>
          </w:p>
        </w:tc>
        <w:tc>
          <w:tcPr>
            <w:tcW w:w="7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5464A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国标《GB/T 27770-2011 病媒生物密度防治水平 鼠类》规定的单位鼠密度防治标准C级</w:t>
            </w:r>
          </w:p>
        </w:tc>
      </w:tr>
      <w:tr w14:paraId="281CF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7046C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蟑螂</w:t>
            </w:r>
          </w:p>
        </w:tc>
        <w:tc>
          <w:tcPr>
            <w:tcW w:w="7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53F69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国标《GB/T 27773-2011 病媒生物密度防治水平 蜚蠊》规定的单位蟑螂密度防治标准C级</w:t>
            </w:r>
          </w:p>
        </w:tc>
      </w:tr>
      <w:tr w14:paraId="2B5E0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741C8D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蝇类</w:t>
            </w:r>
          </w:p>
        </w:tc>
        <w:tc>
          <w:tcPr>
            <w:tcW w:w="7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FF346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国标《GB/T 27772-2011 病媒生物密度防治水平 蝇类》规定的单位蝇密度防治标准C级</w:t>
            </w:r>
          </w:p>
        </w:tc>
      </w:tr>
      <w:tr w14:paraId="13D09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AC90CC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蚊虫</w:t>
            </w:r>
          </w:p>
        </w:tc>
        <w:tc>
          <w:tcPr>
            <w:tcW w:w="7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20119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国标《GB/T 27771-2011 病媒生物密度防治水平 蚊虫》规定的单位蚊虫密度防治标准C级</w:t>
            </w:r>
          </w:p>
        </w:tc>
      </w:tr>
    </w:tbl>
    <w:p w14:paraId="59B1902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  <w:tab/>
      </w:r>
    </w:p>
    <w:p w14:paraId="26016FC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有害生物控制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要求</w:t>
      </w:r>
    </w:p>
    <w:tbl>
      <w:tblPr>
        <w:tblStyle w:val="6"/>
        <w:tblpPr w:leftFromText="180" w:rightFromText="180" w:vertAnchor="text" w:horzAnchor="page" w:tblpXSpec="center" w:tblpY="451"/>
        <w:tblOverlap w:val="never"/>
        <w:tblW w:w="98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26"/>
        <w:gridCol w:w="3026"/>
        <w:gridCol w:w="1571"/>
        <w:gridCol w:w="2632"/>
      </w:tblGrid>
      <w:tr w14:paraId="2F8F25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Align w:val="center"/>
          </w:tcPr>
          <w:p w14:paraId="3248DEB8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处理区域</w:t>
            </w:r>
          </w:p>
        </w:tc>
        <w:tc>
          <w:tcPr>
            <w:tcW w:w="1326" w:type="dxa"/>
            <w:vAlign w:val="center"/>
          </w:tcPr>
          <w:p w14:paraId="65213152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靶标害虫</w:t>
            </w:r>
          </w:p>
        </w:tc>
        <w:tc>
          <w:tcPr>
            <w:tcW w:w="3026" w:type="dxa"/>
            <w:vAlign w:val="center"/>
          </w:tcPr>
          <w:p w14:paraId="157E6666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实施措施</w:t>
            </w:r>
          </w:p>
        </w:tc>
        <w:tc>
          <w:tcPr>
            <w:tcW w:w="1571" w:type="dxa"/>
            <w:vAlign w:val="center"/>
          </w:tcPr>
          <w:p w14:paraId="75D8A5B1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实施频率</w:t>
            </w:r>
          </w:p>
        </w:tc>
        <w:tc>
          <w:tcPr>
            <w:tcW w:w="2632" w:type="dxa"/>
            <w:vAlign w:val="center"/>
          </w:tcPr>
          <w:p w14:paraId="5D3822F2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实施要求</w:t>
            </w:r>
          </w:p>
        </w:tc>
      </w:tr>
      <w:tr w14:paraId="6FF048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restart"/>
            <w:vAlign w:val="center"/>
          </w:tcPr>
          <w:p w14:paraId="0875C6AA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4088148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68B641F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外环境</w:t>
            </w:r>
          </w:p>
        </w:tc>
        <w:tc>
          <w:tcPr>
            <w:tcW w:w="1326" w:type="dxa"/>
            <w:vAlign w:val="center"/>
          </w:tcPr>
          <w:p w14:paraId="3FE73C5D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鼠类</w:t>
            </w:r>
          </w:p>
        </w:tc>
        <w:tc>
          <w:tcPr>
            <w:tcW w:w="3026" w:type="dxa"/>
            <w:vAlign w:val="center"/>
          </w:tcPr>
          <w:p w14:paraId="25735070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设立毒饵站</w:t>
            </w:r>
            <w:r>
              <w:rPr>
                <w:rFonts w:hint="eastAsia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（6个）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、巡查、定点灭鼠</w:t>
            </w:r>
          </w:p>
        </w:tc>
        <w:tc>
          <w:tcPr>
            <w:tcW w:w="1571" w:type="dxa"/>
            <w:vMerge w:val="restart"/>
            <w:vAlign w:val="center"/>
          </w:tcPr>
          <w:p w14:paraId="5B4FF69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每月4次</w:t>
            </w:r>
          </w:p>
        </w:tc>
        <w:tc>
          <w:tcPr>
            <w:tcW w:w="2632" w:type="dxa"/>
            <w:vMerge w:val="restart"/>
            <w:vAlign w:val="center"/>
          </w:tcPr>
          <w:p w14:paraId="488D6CF0">
            <w:pPr>
              <w:pStyle w:val="8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420" w:leftChars="0" w:hanging="42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每次服务提交施工报告</w:t>
            </w:r>
          </w:p>
          <w:p w14:paraId="2979E7F6">
            <w:pPr>
              <w:pStyle w:val="8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420" w:leftChars="0" w:hanging="42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每月针对环境卫生、三防设施提交完善建议</w:t>
            </w:r>
          </w:p>
          <w:p w14:paraId="02A62498">
            <w:pPr>
              <w:pStyle w:val="8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420" w:leftChars="0" w:hanging="42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每季度提交虫害分析报告（含趋势分析）。</w:t>
            </w:r>
          </w:p>
        </w:tc>
      </w:tr>
      <w:tr w14:paraId="78522E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83" w:type="dxa"/>
            <w:vMerge w:val="continue"/>
            <w:vAlign w:val="center"/>
          </w:tcPr>
          <w:p w14:paraId="5F453095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7F8910BD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飞虫</w:t>
            </w:r>
          </w:p>
        </w:tc>
        <w:tc>
          <w:tcPr>
            <w:tcW w:w="3026" w:type="dxa"/>
            <w:vAlign w:val="center"/>
          </w:tcPr>
          <w:p w14:paraId="7592618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在外环境拟建立害虫入侵阻断带，用药物阻断害虫入侵，并处理蚊蝇孳生地。</w:t>
            </w:r>
          </w:p>
        </w:tc>
        <w:tc>
          <w:tcPr>
            <w:tcW w:w="1571" w:type="dxa"/>
            <w:vMerge w:val="continue"/>
            <w:vAlign w:val="center"/>
          </w:tcPr>
          <w:p w14:paraId="689CB344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7A1E55CA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CC4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continue"/>
            <w:vAlign w:val="center"/>
          </w:tcPr>
          <w:p w14:paraId="4F8B02EE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102B9BA6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爬虫</w:t>
            </w:r>
          </w:p>
        </w:tc>
        <w:tc>
          <w:tcPr>
            <w:tcW w:w="3026" w:type="dxa"/>
            <w:vAlign w:val="center"/>
          </w:tcPr>
          <w:p w14:paraId="60B571E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巡查入侵通道， 滞留喷洒药物阻断入侵</w:t>
            </w:r>
          </w:p>
        </w:tc>
        <w:tc>
          <w:tcPr>
            <w:tcW w:w="1571" w:type="dxa"/>
            <w:vMerge w:val="continue"/>
            <w:vAlign w:val="center"/>
          </w:tcPr>
          <w:p w14:paraId="2E2A5389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59422BC7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713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83" w:type="dxa"/>
            <w:vMerge w:val="continue"/>
            <w:vAlign w:val="center"/>
          </w:tcPr>
          <w:p w14:paraId="4FC0D318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241AC6DB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蛇类</w:t>
            </w:r>
          </w:p>
        </w:tc>
        <w:tc>
          <w:tcPr>
            <w:tcW w:w="3026" w:type="dxa"/>
            <w:vAlign w:val="center"/>
          </w:tcPr>
          <w:p w14:paraId="696F093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防蛇装置</w:t>
            </w:r>
            <w:r>
              <w:rPr>
                <w:rFonts w:hint="eastAsia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（15个）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+驱蛇药粉</w:t>
            </w:r>
          </w:p>
        </w:tc>
        <w:tc>
          <w:tcPr>
            <w:tcW w:w="1571" w:type="dxa"/>
            <w:vMerge w:val="continue"/>
            <w:vAlign w:val="center"/>
          </w:tcPr>
          <w:p w14:paraId="3CE2CC6C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47306D56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5D9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restart"/>
            <w:vAlign w:val="center"/>
          </w:tcPr>
          <w:p w14:paraId="23292449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F379594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E55F337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建筑四周</w:t>
            </w:r>
          </w:p>
        </w:tc>
        <w:tc>
          <w:tcPr>
            <w:tcW w:w="1326" w:type="dxa"/>
            <w:vAlign w:val="center"/>
          </w:tcPr>
          <w:p w14:paraId="3B4E7828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鼠类</w:t>
            </w:r>
          </w:p>
        </w:tc>
        <w:tc>
          <w:tcPr>
            <w:tcW w:w="3026" w:type="dxa"/>
            <w:vAlign w:val="center"/>
          </w:tcPr>
          <w:p w14:paraId="2050F522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设立毒饵站、巡查、定点灭鼠</w:t>
            </w:r>
          </w:p>
        </w:tc>
        <w:tc>
          <w:tcPr>
            <w:tcW w:w="1571" w:type="dxa"/>
            <w:vMerge w:val="continue"/>
            <w:vAlign w:val="center"/>
          </w:tcPr>
          <w:p w14:paraId="3D531C3A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266F7147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D0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continue"/>
            <w:vAlign w:val="center"/>
          </w:tcPr>
          <w:p w14:paraId="4D79F157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0D4B2899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飞虫</w:t>
            </w:r>
          </w:p>
        </w:tc>
        <w:tc>
          <w:tcPr>
            <w:tcW w:w="3026" w:type="dxa"/>
            <w:vAlign w:val="center"/>
          </w:tcPr>
          <w:p w14:paraId="0E76DF30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巡查入侵通道，提出完善建议</w:t>
            </w:r>
          </w:p>
        </w:tc>
        <w:tc>
          <w:tcPr>
            <w:tcW w:w="1571" w:type="dxa"/>
            <w:vMerge w:val="continue"/>
            <w:vAlign w:val="center"/>
          </w:tcPr>
          <w:p w14:paraId="77EA926C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0192192C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5AF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continue"/>
            <w:vAlign w:val="center"/>
          </w:tcPr>
          <w:p w14:paraId="2CCD890B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26F7AECF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爬虫</w:t>
            </w:r>
          </w:p>
        </w:tc>
        <w:tc>
          <w:tcPr>
            <w:tcW w:w="3026" w:type="dxa"/>
            <w:vAlign w:val="center"/>
          </w:tcPr>
          <w:p w14:paraId="78AAC4BD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巡查入侵通道， 滞留喷洒药物阻断入侵</w:t>
            </w:r>
          </w:p>
        </w:tc>
        <w:tc>
          <w:tcPr>
            <w:tcW w:w="1571" w:type="dxa"/>
            <w:vMerge w:val="continue"/>
            <w:vAlign w:val="center"/>
          </w:tcPr>
          <w:p w14:paraId="5A671DC2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788E6AD2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FB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83" w:type="dxa"/>
            <w:vMerge w:val="continue"/>
            <w:vAlign w:val="center"/>
          </w:tcPr>
          <w:p w14:paraId="710969DC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133D0AF5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蛇类</w:t>
            </w:r>
          </w:p>
        </w:tc>
        <w:tc>
          <w:tcPr>
            <w:tcW w:w="3026" w:type="dxa"/>
            <w:vAlign w:val="center"/>
          </w:tcPr>
          <w:p w14:paraId="13ECAE4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防蛇装置</w:t>
            </w:r>
            <w:r>
              <w:rPr>
                <w:rFonts w:hint="eastAsia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（10个）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+驱蛇药粉</w:t>
            </w:r>
          </w:p>
        </w:tc>
        <w:tc>
          <w:tcPr>
            <w:tcW w:w="1571" w:type="dxa"/>
            <w:vMerge w:val="continue"/>
            <w:vAlign w:val="center"/>
          </w:tcPr>
          <w:p w14:paraId="07D4EA2B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6E2BD28F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C17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restart"/>
            <w:vAlign w:val="center"/>
          </w:tcPr>
          <w:p w14:paraId="3026B202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55F3CDE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5685E7D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建筑内部</w:t>
            </w:r>
          </w:p>
        </w:tc>
        <w:tc>
          <w:tcPr>
            <w:tcW w:w="1326" w:type="dxa"/>
            <w:vAlign w:val="center"/>
          </w:tcPr>
          <w:p w14:paraId="6C6BE7B6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鼠类</w:t>
            </w:r>
          </w:p>
        </w:tc>
        <w:tc>
          <w:tcPr>
            <w:tcW w:w="3026" w:type="dxa"/>
            <w:vAlign w:val="center"/>
          </w:tcPr>
          <w:p w14:paraId="06920BEA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毒饵灭鼠</w:t>
            </w:r>
            <w:r>
              <w:rPr>
                <w:rFonts w:hint="eastAsia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（3个）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、器械捕鼠</w:t>
            </w:r>
            <w:r>
              <w:rPr>
                <w:rFonts w:hint="eastAsia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（粘鼠板10个、鼠夹10个）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、持续监控</w:t>
            </w:r>
          </w:p>
        </w:tc>
        <w:tc>
          <w:tcPr>
            <w:tcW w:w="1571" w:type="dxa"/>
            <w:vMerge w:val="continue"/>
            <w:vAlign w:val="center"/>
          </w:tcPr>
          <w:p w14:paraId="70104513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1FDA72E8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B29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3" w:type="dxa"/>
            <w:vMerge w:val="continue"/>
            <w:vAlign w:val="center"/>
          </w:tcPr>
          <w:p w14:paraId="006E18A6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4A278929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飞虫</w:t>
            </w:r>
          </w:p>
        </w:tc>
        <w:tc>
          <w:tcPr>
            <w:tcW w:w="3026" w:type="dxa"/>
            <w:vAlign w:val="center"/>
          </w:tcPr>
          <w:p w14:paraId="0CB0B8CE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物理防治、超低空间喷雾、定点滞留喷洒</w:t>
            </w:r>
          </w:p>
        </w:tc>
        <w:tc>
          <w:tcPr>
            <w:tcW w:w="1571" w:type="dxa"/>
            <w:vMerge w:val="continue"/>
            <w:vAlign w:val="center"/>
          </w:tcPr>
          <w:p w14:paraId="2B052891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5D80E862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A2F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83" w:type="dxa"/>
            <w:vMerge w:val="continue"/>
            <w:vAlign w:val="center"/>
          </w:tcPr>
          <w:p w14:paraId="65178764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 w14:paraId="676D2B4B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爬虫</w:t>
            </w:r>
          </w:p>
        </w:tc>
        <w:tc>
          <w:tcPr>
            <w:tcW w:w="3026" w:type="dxa"/>
            <w:vAlign w:val="center"/>
          </w:tcPr>
          <w:p w14:paraId="46C49C88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胶饵颗粒毒饵诱杀、滞留喷洒触杀粉剂</w:t>
            </w:r>
          </w:p>
        </w:tc>
        <w:tc>
          <w:tcPr>
            <w:tcW w:w="1571" w:type="dxa"/>
            <w:vMerge w:val="continue"/>
            <w:vAlign w:val="center"/>
          </w:tcPr>
          <w:p w14:paraId="6A904748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Merge w:val="continue"/>
            <w:vAlign w:val="center"/>
          </w:tcPr>
          <w:p w14:paraId="5DBC97CE">
            <w:pPr>
              <w:pStyle w:val="8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FC72C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经双方协商，乙方施工频率为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每月4次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因虫鼠密度波动或发生例外情况，经双方协商，可以在不增加服务次数前提下，调整服务时间。若一方需要增加或减少服务频次，另一方应在3个工作日内回复，并协商一致。协商不成，按照第十条“争议的解决”处理。</w:t>
      </w:r>
    </w:p>
    <w:p w14:paraId="22ABF293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四、服务期限</w:t>
      </w:r>
    </w:p>
    <w:p w14:paraId="043E888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合同生效后乙方在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1个工作日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内安排进场启动有害生物防治施工，合同期限为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1年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，合同起止日期：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2024年  月  日 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2025年   月   日 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8FBEAC5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五、服务费用的支付方式</w:t>
      </w:r>
    </w:p>
    <w:p w14:paraId="702ABFD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服务费用由甲方 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半年付一次 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支付给乙方，具体支付方式：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甲方按每半年支付有害生物控制服务费用。本协议生效后，乙方每月凭双方签字确认的施工记录单向甲方开具服务发票，甲方在收到乙方发票后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个工作日内将有害生物控制服务费支付给乙方。如遇节假日特殊情况，付款时间可提前或延顺，但时间必须在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日之内。</w:t>
      </w:r>
    </w:p>
    <w:p w14:paraId="438CC37C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六、甲方的职责</w:t>
      </w:r>
    </w:p>
    <w:p w14:paraId="5A0A7CB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有权对乙方的防治服务工作质量进行监督，提出整改、提升意见。</w:t>
      </w:r>
    </w:p>
    <w:p w14:paraId="59DD515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指定专人对接乙方人员防治服务工作，并通知相关人员提供工作上的便利。</w:t>
      </w:r>
    </w:p>
    <w:p w14:paraId="45FD6B0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乙方每次服务后，应指派人员在施工记录单上签字认可。</w:t>
      </w:r>
    </w:p>
    <w:p w14:paraId="30668F4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负责搞好单位的环境卫生，并在乙方的指导下落实施工过程中提交的有害生物防控建议。</w:t>
      </w:r>
    </w:p>
    <w:p w14:paraId="4006DBF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对易发生人畜、宠物误食的投药场所，应当设立警示标识。</w:t>
      </w:r>
    </w:p>
    <w:p w14:paraId="0E5C3B0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 w:bidi="ar-SA"/>
        </w:rPr>
        <w:t>6、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按时足额支付乙方防治服务费。</w:t>
      </w:r>
    </w:p>
    <w:p w14:paraId="5568E683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七、乙方的职责</w:t>
      </w:r>
    </w:p>
    <w:p w14:paraId="14D89FE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使用的药物和器械应合规、三证齐全。</w:t>
      </w:r>
    </w:p>
    <w:p w14:paraId="2A29117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确保服务质量，使虫害控制水平达到合同规定的要求。</w:t>
      </w:r>
    </w:p>
    <w:p w14:paraId="45EDA13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按照合同约定频次实施防治服务，每次服务完毕提交有甲方签字的施工记录单。</w:t>
      </w:r>
    </w:p>
    <w:p w14:paraId="28F1B34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现场服务时，要遵守甲方的有关规章制度，做到安全操作。</w:t>
      </w:r>
    </w:p>
    <w:p w14:paraId="5603DC0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lang w:val="en-US" w:eastAsia="zh-CN" w:bidi="ar-SA"/>
        </w:rPr>
        <w:t>5、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落实甲方提出的整改或合理化建议，逐项整改并向甲方反馈。</w:t>
      </w:r>
    </w:p>
    <w:p w14:paraId="6F0D1894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八、违约责任</w:t>
      </w:r>
    </w:p>
    <w:p w14:paraId="5C9A377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甲方如不履行本合同规定的职责，乙方有权单方面通知甲方终止合同，甲方已支付的服务费不再退回。</w:t>
      </w:r>
    </w:p>
    <w:p w14:paraId="583BDB6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乙方如在进场施工一个月后不能降低虫害密度至合同约定水平，甲方有权单方面通知乙方终止合同，并不付任何费用。</w:t>
      </w:r>
    </w:p>
    <w:p w14:paraId="49E3C81E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九、甲、乙双方约定的其他事项</w:t>
      </w:r>
    </w:p>
    <w:p w14:paraId="5B915C8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本合同期满，双方如无异议，则合同自动顺延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一年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A0561E6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十、争议的解决</w:t>
      </w:r>
    </w:p>
    <w:p w14:paraId="449601D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本合同未尽事宜，双方友好协商解决，签订补充协议，如协商不成可向合同签订所在地的仲裁机构起诉。</w:t>
      </w:r>
    </w:p>
    <w:p w14:paraId="1CDAB7A6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3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本合同一式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份，甲方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执叁份，乙方执壹份，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代表签字或盖章后生效。</w:t>
      </w:r>
    </w:p>
    <w:p w14:paraId="16D9DB36">
      <w:pPr>
        <w:widowControl w:val="0"/>
        <w:numPr>
          <w:ilvl w:val="0"/>
          <w:numId w:val="0"/>
        </w:numPr>
        <w:jc w:val="both"/>
        <w:rPr>
          <w:rFonts w:hint="default"/>
        </w:rPr>
      </w:pPr>
    </w:p>
    <w:p w14:paraId="2BBB9A20">
      <w:pPr>
        <w:pStyle w:val="2"/>
        <w:rPr>
          <w:rFonts w:hint="default"/>
        </w:rPr>
      </w:pPr>
    </w:p>
    <w:p w14:paraId="261495AB">
      <w:pPr>
        <w:rPr>
          <w:rFonts w:hint="default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6502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shd w:val="clear" w:color="auto" w:fill="auto"/>
          </w:tcPr>
          <w:p w14:paraId="744256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32"/>
                <w:szCs w:val="32"/>
              </w:rPr>
              <w:t xml:space="preserve">甲方： </w:t>
            </w:r>
          </w:p>
        </w:tc>
        <w:tc>
          <w:tcPr>
            <w:tcW w:w="4261" w:type="dxa"/>
            <w:shd w:val="clear" w:color="auto" w:fill="auto"/>
          </w:tcPr>
          <w:p w14:paraId="1BE38D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乙方：</w:t>
            </w:r>
          </w:p>
        </w:tc>
      </w:tr>
      <w:tr w14:paraId="774F5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shd w:val="clear" w:color="auto" w:fill="auto"/>
          </w:tcPr>
          <w:p w14:paraId="5888ED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32"/>
                <w:szCs w:val="32"/>
              </w:rPr>
              <w:t xml:space="preserve">代表： </w:t>
            </w:r>
          </w:p>
        </w:tc>
        <w:tc>
          <w:tcPr>
            <w:tcW w:w="4261" w:type="dxa"/>
            <w:shd w:val="clear" w:color="auto" w:fill="auto"/>
          </w:tcPr>
          <w:p w14:paraId="5A6F0D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代表：</w:t>
            </w:r>
          </w:p>
        </w:tc>
      </w:tr>
      <w:tr w14:paraId="01AE8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shd w:val="clear" w:color="auto" w:fill="auto"/>
          </w:tcPr>
          <w:p w14:paraId="6EE581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电话：</w:t>
            </w:r>
          </w:p>
        </w:tc>
        <w:tc>
          <w:tcPr>
            <w:tcW w:w="4261" w:type="dxa"/>
            <w:shd w:val="clear" w:color="auto" w:fill="auto"/>
          </w:tcPr>
          <w:p w14:paraId="507B9E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电话：</w:t>
            </w:r>
          </w:p>
        </w:tc>
      </w:tr>
      <w:tr w14:paraId="55BF0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shd w:val="clear" w:color="auto" w:fill="auto"/>
          </w:tcPr>
          <w:p w14:paraId="327151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签订日期：</w:t>
            </w: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32"/>
                <w:szCs w:val="32"/>
              </w:rPr>
              <w:t>2024年   月   日</w:t>
            </w:r>
          </w:p>
        </w:tc>
        <w:tc>
          <w:tcPr>
            <w:tcW w:w="4261" w:type="dxa"/>
            <w:shd w:val="clear" w:color="auto" w:fill="auto"/>
          </w:tcPr>
          <w:p w14:paraId="0452FC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签订日期：</w:t>
            </w: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32"/>
                <w:szCs w:val="32"/>
              </w:rPr>
              <w:t>2024年   月   日</w:t>
            </w:r>
          </w:p>
        </w:tc>
      </w:tr>
    </w:tbl>
    <w:p w14:paraId="3F2A6238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lang w:val="en-US" w:eastAsia="zh-CN"/>
        </w:rPr>
      </w:pPr>
    </w:p>
    <w:p w14:paraId="32F625B9">
      <w:bookmarkStart w:id="0" w:name="_GoBack"/>
      <w:bookmarkEnd w:id="0"/>
    </w:p>
    <w:sectPr>
      <w:footerReference r:id="rId3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EE4D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649C9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649C9"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4A5A3"/>
    <w:multiLevelType w:val="singleLevel"/>
    <w:tmpl w:val="3014A5A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016731DF"/>
    <w:rsid w:val="0167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rPr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2024-08-29T08:10:00Z</dcterms:created>
  <dc:creator>WPS_1666964186</dc:creator>
  <cp:lastModifiedBy>WPS_1666964186</cp:lastModifiedBy>
  <dcterms:modified xsi:type="dcterms:W3CDTF">2024-08-29T08:11:45Z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948B040C7BAD4B6E91E700152BD36949_11</vt:lpwstr>
  </property>
</Properties>
</file>