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86F3F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37D77268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5524BF6F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7B27EF42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32"/>
          <w:szCs w:val="32"/>
          <w:vertAlign w:val="baseline"/>
          <w:lang w:val="en-US" w:eastAsia="zh-CN" w:bidi="ar-SA"/>
        </w:rPr>
        <w:t>广汉市广鑫投资发展有限公司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：</w:t>
      </w:r>
    </w:p>
    <w:p w14:paraId="7BF2B9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绵阳商业银行贷款抵押物价值评估服务机构，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</w:t>
      </w:r>
      <w:bookmarkStart w:id="1" w:name="_GoBack"/>
      <w:bookmarkEnd w:id="1"/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绵阳商业银行贷款抵押物价值评估服务机构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5623BD2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5E35072F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74705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2B1E9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2849E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0C387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56AB6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FC33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3FF56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449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13B4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136C4A38"/>
    <w:rsid w:val="13D84274"/>
    <w:rsid w:val="14643D5A"/>
    <w:rsid w:val="18BE612E"/>
    <w:rsid w:val="19E716B5"/>
    <w:rsid w:val="1B1B2662"/>
    <w:rsid w:val="21E871A1"/>
    <w:rsid w:val="233B2890"/>
    <w:rsid w:val="23C9341C"/>
    <w:rsid w:val="261B15C4"/>
    <w:rsid w:val="26675BCB"/>
    <w:rsid w:val="273D4D07"/>
    <w:rsid w:val="29A07AA0"/>
    <w:rsid w:val="2B4A73A8"/>
    <w:rsid w:val="2D7050C6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720" w:firstLineChars="200"/>
      <w:outlineLvl w:val="2"/>
    </w:pPr>
    <w:rPr>
      <w:rFonts w:ascii="Times New Roman" w:hAnsi="Times New Roman" w:eastAsia="楷体_GB2312"/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styleId="4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0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172</Characters>
  <Lines>0</Lines>
  <Paragraphs>0</Paragraphs>
  <TotalTime>3</TotalTime>
  <ScaleCrop>false</ScaleCrop>
  <LinksUpToDate>false</LinksUpToDate>
  <CharactersWithSpaces>231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2024-08-21T08:12:18Z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6449589E96A94536BA88127E51AB9477_13</vt:lpwstr>
  </property>
</Properties>
</file>