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房地产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租金评估</w:t>
      </w:r>
      <w:r>
        <w:rPr>
          <w:rFonts w:hint="eastAsia" w:eastAsia="黑体"/>
          <w:b/>
          <w:bCs/>
          <w:sz w:val="36"/>
          <w:szCs w:val="36"/>
        </w:rPr>
        <w:t>委托合同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估价委托人及房地产估价机构</w:t>
      </w:r>
    </w:p>
    <w:p>
      <w:pPr>
        <w:widowControl/>
        <w:spacing w:line="420" w:lineRule="exact"/>
        <w:ind w:firstLine="422" w:firstLineChars="200"/>
        <w:jc w:val="left"/>
        <w:rPr>
          <w:rFonts w:ascii="宋体" w:hAnsi="宋体"/>
          <w:bCs/>
          <w:szCs w:val="22"/>
          <w:u w:val="single"/>
        </w:rPr>
      </w:pPr>
      <w:r>
        <w:rPr>
          <w:rFonts w:hint="eastAsia" w:ascii="宋体" w:hAnsi="宋体"/>
          <w:b/>
        </w:rPr>
        <w:t>1.1估价委托人（下称甲方）</w:t>
      </w:r>
      <w:r>
        <w:rPr>
          <w:rFonts w:hint="eastAsia" w:ascii="宋体" w:hAnsi="宋体"/>
          <w:b/>
          <w:spacing w:val="-6"/>
          <w:szCs w:val="21"/>
        </w:rPr>
        <w:t>：</w:t>
      </w:r>
      <w:r>
        <w:rPr>
          <w:rFonts w:hint="eastAsia" w:ascii="宋体" w:hAnsi="宋体"/>
          <w:bCs/>
          <w:szCs w:val="22"/>
          <w:u w:val="single"/>
        </w:rPr>
        <w:t xml:space="preserve">  </w:t>
      </w:r>
    </w:p>
    <w:p>
      <w:pPr>
        <w:widowControl/>
        <w:spacing w:line="420" w:lineRule="exact"/>
        <w:ind w:firstLine="422" w:firstLineChars="200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  <w:szCs w:val="22"/>
        </w:rPr>
        <w:t>地址:</w:t>
      </w:r>
      <w:r>
        <w:rPr>
          <w:rFonts w:ascii="宋体" w:hAnsi="宋体"/>
          <w:bCs/>
          <w:szCs w:val="22"/>
          <w:u w:val="single"/>
        </w:rPr>
        <w:t xml:space="preserve"> </w:t>
      </w:r>
      <w:r>
        <w:rPr>
          <w:rFonts w:hint="eastAsia" w:ascii="宋体" w:hAnsi="宋体"/>
          <w:bCs/>
          <w:color w:val="0000FF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Cs w:val="22"/>
          <w:u w:val="single"/>
        </w:rPr>
        <w:t xml:space="preserve"> </w:t>
      </w:r>
      <w:r>
        <w:rPr>
          <w:rFonts w:ascii="宋体" w:hAnsi="宋体"/>
          <w:bCs/>
          <w:szCs w:val="22"/>
          <w:u w:val="single"/>
        </w:rPr>
        <w:t xml:space="preserve">    </w:t>
      </w:r>
      <w:r>
        <w:rPr>
          <w:rFonts w:ascii="宋体" w:hAnsi="宋体"/>
          <w:b/>
          <w:szCs w:val="22"/>
          <w:u w:val="single"/>
        </w:rPr>
        <w:t xml:space="preserve">         </w:t>
      </w:r>
      <w:r>
        <w:rPr>
          <w:rFonts w:hint="eastAsia" w:ascii="宋体" w:hAnsi="宋体"/>
          <w:b/>
          <w:szCs w:val="22"/>
          <w:u w:val="single"/>
        </w:rPr>
        <w:t xml:space="preserve">  </w:t>
      </w:r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ascii="宋体" w:hAnsi="宋体"/>
          <w:bCs/>
          <w:u w:val="single"/>
        </w:rPr>
        <w:t xml:space="preserve">                            </w:t>
      </w:r>
      <w:r>
        <w:rPr>
          <w:rFonts w:hint="eastAsia" w:ascii="宋体" w:hAnsi="宋体"/>
          <w:bCs/>
          <w:u w:val="single"/>
        </w:rPr>
        <w:t xml:space="preserve">  </w:t>
      </w:r>
      <w:r>
        <w:rPr>
          <w:rFonts w:ascii="宋体" w:hAnsi="宋体"/>
          <w:bCs/>
          <w:u w:val="single"/>
        </w:rPr>
        <w:t xml:space="preserve">             </w:t>
      </w:r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hint="eastAsia" w:ascii="宋体" w:hAnsi="宋体"/>
          <w:b/>
          <w:szCs w:val="22"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  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bCs/>
        </w:rPr>
      </w:pPr>
      <w:r>
        <w:rPr>
          <w:rFonts w:hint="eastAsia" w:ascii="宋体" w:hAnsi="宋体"/>
          <w:b/>
        </w:rPr>
        <w:t>联系人：</w:t>
      </w:r>
      <w:bookmarkStart w:id="0" w:name="_Hlk81491544"/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ascii="宋体" w:hAnsi="宋体"/>
          <w:bCs/>
          <w:u w:val="single"/>
        </w:rPr>
        <w:t xml:space="preserve">      </w:t>
      </w:r>
      <w:r>
        <w:rPr>
          <w:rFonts w:hint="eastAsia" w:ascii="宋体" w:hAnsi="宋体"/>
          <w:bCs/>
          <w:u w:val="single"/>
        </w:rPr>
        <w:t xml:space="preserve">    </w:t>
      </w:r>
      <w:bookmarkEnd w:id="0"/>
      <w:r>
        <w:rPr>
          <w:rFonts w:hint="eastAsia" w:ascii="宋体" w:hAnsi="宋体"/>
          <w:bCs/>
        </w:rPr>
        <w:t xml:space="preserve">     </w:t>
      </w:r>
      <w:r>
        <w:rPr>
          <w:rFonts w:hint="eastAsia" w:ascii="宋体" w:hAnsi="宋体"/>
          <w:b/>
        </w:rPr>
        <w:t xml:space="preserve"> 联系电话:</w:t>
      </w:r>
      <w:r>
        <w:rPr>
          <w:rFonts w:hint="eastAsia" w:ascii="宋体" w:hAnsi="宋体"/>
          <w:b/>
          <w:u w:val="single"/>
        </w:rPr>
        <w:t xml:space="preserve"> </w:t>
      </w:r>
      <w:r>
        <w:rPr>
          <w:rFonts w:hint="eastAsia" w:ascii="宋体" w:hAnsi="宋体"/>
          <w:bCs/>
          <w:u w:val="single"/>
        </w:rPr>
        <w:t xml:space="preserve"> </w:t>
      </w:r>
      <w:r>
        <w:rPr>
          <w:rFonts w:ascii="宋体" w:hAnsi="宋体"/>
          <w:spacing w:val="-6"/>
          <w:szCs w:val="21"/>
          <w:u w:val="single"/>
        </w:rPr>
        <w:t xml:space="preserve">  </w:t>
      </w:r>
      <w:r>
        <w:rPr>
          <w:rFonts w:hint="eastAsia" w:ascii="宋体" w:hAnsi="宋体"/>
          <w:bCs/>
        </w:rPr>
        <w:t xml:space="preserve">         </w:t>
      </w:r>
    </w:p>
    <w:p>
      <w:pPr>
        <w:snapToGrid w:val="0"/>
        <w:spacing w:line="420" w:lineRule="exact"/>
        <w:ind w:left="525" w:leftChars="200" w:hanging="105" w:hangingChars="50"/>
        <w:rPr>
          <w:rFonts w:ascii="宋体" w:hAnsi="宋体"/>
          <w:spacing w:val="-6"/>
          <w:szCs w:val="21"/>
        </w:rPr>
      </w:pPr>
      <w:r>
        <w:rPr>
          <w:rFonts w:hint="eastAsia" w:ascii="宋体" w:hAnsi="宋体"/>
          <w:b/>
          <w:bCs w:val="0"/>
        </w:rPr>
        <w:t xml:space="preserve">1.2 </w:t>
      </w:r>
      <w:r>
        <w:rPr>
          <w:rFonts w:hint="eastAsia" w:ascii="宋体" w:hAnsi="宋体"/>
          <w:b/>
          <w:bCs w:val="0"/>
          <w:spacing w:val="-6"/>
          <w:szCs w:val="21"/>
        </w:rPr>
        <w:t>房地产估价机构（下称乙方）：</w:t>
      </w:r>
      <w:r>
        <w:rPr>
          <w:rFonts w:hint="eastAsia" w:ascii="宋体" w:hAnsi="宋体"/>
          <w:spacing w:val="-6"/>
          <w:szCs w:val="21"/>
        </w:rPr>
        <w:t xml:space="preserve"> </w:t>
      </w:r>
      <w:r>
        <w:rPr>
          <w:rFonts w:hint="eastAsia" w:ascii="宋体" w:hAnsi="宋体"/>
          <w:spacing w:val="-6"/>
          <w:szCs w:val="21"/>
          <w:u w:val="single"/>
        </w:rPr>
        <w:t xml:space="preserve">   </w:t>
      </w:r>
      <w:r>
        <w:rPr>
          <w:rFonts w:hint="eastAsia" w:ascii="宋体" w:hAnsi="宋体"/>
          <w:spacing w:val="-6"/>
          <w:szCs w:val="21"/>
        </w:rPr>
        <w:t xml:space="preserve">                             </w:t>
      </w:r>
      <w:r>
        <w:rPr>
          <w:rFonts w:hint="eastAsia" w:ascii="宋体" w:hAnsi="宋体"/>
          <w:spacing w:val="-6"/>
          <w:szCs w:val="21"/>
          <w:u w:val="single"/>
        </w:rPr>
        <w:t xml:space="preserve">        </w:t>
      </w:r>
    </w:p>
    <w:p>
      <w:pPr>
        <w:snapToGrid w:val="0"/>
        <w:spacing w:line="42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  <w:b/>
          <w:bCs/>
          <w:spacing w:val="-6"/>
          <w:szCs w:val="21"/>
        </w:rPr>
        <w:t>地址</w:t>
      </w:r>
      <w:r>
        <w:rPr>
          <w:rFonts w:hint="eastAsia" w:ascii="宋体" w:hAnsi="宋体"/>
          <w:b/>
          <w:bCs/>
          <w:spacing w:val="-6"/>
          <w:szCs w:val="21"/>
          <w:u w:val="none"/>
        </w:rPr>
        <w:t>：</w:t>
      </w:r>
      <w:r>
        <w:rPr>
          <w:rFonts w:hint="eastAsia" w:ascii="宋体" w:hAnsi="宋体"/>
          <w:spacing w:val="-6"/>
          <w:szCs w:val="21"/>
          <w:u w:val="none"/>
        </w:rPr>
        <w:t xml:space="preserve"> </w:t>
      </w:r>
      <w:r>
        <w:rPr>
          <w:rFonts w:hint="eastAsia" w:ascii="宋体" w:hAnsi="宋体"/>
          <w:spacing w:val="-6"/>
          <w:szCs w:val="21"/>
          <w:u w:val="single"/>
        </w:rPr>
        <w:t xml:space="preserve">                                                    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u w:val="single"/>
        </w:rPr>
      </w:pPr>
      <w:r>
        <w:rPr>
          <w:rFonts w:hint="eastAsia" w:ascii="宋体" w:hAnsi="宋体"/>
          <w:b/>
        </w:rPr>
        <w:t>联系人：</w:t>
      </w:r>
      <w:r>
        <w:rPr>
          <w:rFonts w:hint="eastAsia" w:ascii="宋体" w:hAnsi="宋体"/>
          <w:bCs/>
          <w:color w:val="0000FF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u w:val="single"/>
          <w:lang w:val="en-US" w:eastAsia="zh-CN"/>
        </w:rPr>
        <w:t xml:space="preserve">    </w:t>
      </w:r>
      <w:r>
        <w:rPr>
          <w:rFonts w:ascii="宋体" w:hAnsi="宋体"/>
          <w:bCs/>
          <w:u w:val="single"/>
        </w:rPr>
        <w:t xml:space="preserve">  </w:t>
      </w:r>
      <w:r>
        <w:rPr>
          <w:rFonts w:hint="eastAsia" w:ascii="宋体" w:hAnsi="宋体"/>
          <w:spacing w:val="-6"/>
          <w:szCs w:val="21"/>
          <w:u w:val="single"/>
        </w:rPr>
        <w:t xml:space="preserve">       </w:t>
      </w:r>
      <w:r>
        <w:rPr>
          <w:rFonts w:hint="eastAsia" w:ascii="宋体" w:hAnsi="宋体"/>
          <w:bCs/>
        </w:rPr>
        <w:t xml:space="preserve">    </w:t>
      </w:r>
      <w:r>
        <w:rPr>
          <w:rFonts w:hint="eastAsia" w:ascii="宋体" w:hAnsi="宋体"/>
          <w:b/>
          <w:bCs/>
          <w:spacing w:val="-6"/>
          <w:szCs w:val="21"/>
        </w:rPr>
        <w:t xml:space="preserve"> 联系</w:t>
      </w:r>
      <w:r>
        <w:rPr>
          <w:rFonts w:hint="eastAsia" w:ascii="宋体" w:hAnsi="宋体"/>
          <w:b/>
          <w:bCs/>
        </w:rPr>
        <w:t>电话：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/>
          <w:u w:val="single"/>
        </w:rPr>
        <w:t xml:space="preserve">                               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委托约定的内容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2.1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  <w:lang w:eastAsia="zh-CN"/>
        </w:rPr>
        <w:t>估价对象</w:t>
      </w:r>
      <w:r>
        <w:rPr>
          <w:rFonts w:hint="eastAsia" w:ascii="宋体" w:hAnsi="宋体"/>
          <w:b/>
        </w:rPr>
        <w:t>和范围</w:t>
      </w:r>
    </w:p>
    <w:p>
      <w:pPr>
        <w:snapToGrid w:val="0"/>
        <w:spacing w:line="420" w:lineRule="exact"/>
        <w:ind w:firstLine="396" w:firstLineChars="200"/>
        <w:rPr>
          <w:rFonts w:hint="eastAsia" w:ascii="宋体" w:hAnsi="宋体"/>
          <w:spacing w:val="-6"/>
          <w:szCs w:val="21"/>
          <w:u w:val="none"/>
          <w:lang w:eastAsia="zh-CN"/>
        </w:rPr>
      </w:pPr>
      <w:r>
        <w:rPr>
          <w:rFonts w:hint="eastAsia" w:ascii="宋体" w:hAnsi="宋体"/>
          <w:spacing w:val="-6"/>
          <w:szCs w:val="21"/>
          <w:u w:val="none"/>
          <w:lang w:eastAsia="zh-CN"/>
        </w:rPr>
        <w:t>估价对象：</w:t>
      </w:r>
    </w:p>
    <w:p>
      <w:pPr>
        <w:snapToGrid w:val="0"/>
        <w:spacing w:line="420" w:lineRule="exact"/>
        <w:ind w:firstLine="396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pacing w:val="-6"/>
          <w:szCs w:val="21"/>
          <w:u w:val="none"/>
          <w:lang w:eastAsia="zh-CN"/>
        </w:rPr>
        <w:t>估价范围：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pacing w:val="-6"/>
          <w:szCs w:val="21"/>
          <w:u w:val="single"/>
        </w:rPr>
        <w:t xml:space="preserve"> </w:t>
      </w:r>
      <w:r>
        <w:rPr>
          <w:rFonts w:hint="eastAsia" w:ascii="宋体" w:hAnsi="宋体"/>
          <w:spacing w:val="-6"/>
          <w:szCs w:val="21"/>
        </w:rPr>
        <w:t xml:space="preserve">               </w:t>
      </w:r>
      <w:r>
        <w:rPr>
          <w:rFonts w:hint="eastAsia" w:ascii="宋体" w:hAnsi="宋体"/>
          <w:spacing w:val="-6"/>
          <w:szCs w:val="21"/>
          <w:u w:val="single"/>
        </w:rPr>
        <w:t xml:space="preserve">                                                                </w:t>
      </w:r>
      <w:r>
        <w:rPr>
          <w:rFonts w:hint="eastAsia" w:ascii="宋体" w:hAnsi="宋体"/>
          <w:spacing w:val="-6"/>
          <w:szCs w:val="21"/>
        </w:rPr>
        <w:t xml:space="preserve">                                                                       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2.2 </w:t>
      </w:r>
      <w:r>
        <w:rPr>
          <w:rFonts w:hint="eastAsia" w:ascii="宋体" w:hAnsi="宋体"/>
          <w:b/>
          <w:bCs/>
          <w:lang w:eastAsia="zh-CN"/>
        </w:rPr>
        <w:t>估价</w:t>
      </w:r>
      <w:r>
        <w:rPr>
          <w:rFonts w:hint="eastAsia" w:ascii="宋体" w:hAnsi="宋体"/>
          <w:b/>
          <w:bCs/>
        </w:rPr>
        <w:t xml:space="preserve">目的     </w:t>
      </w:r>
    </w:p>
    <w:p>
      <w:pPr>
        <w:snapToGrid w:val="0"/>
        <w:spacing w:line="420" w:lineRule="exact"/>
        <w:ind w:firstLine="396" w:firstLineChars="200"/>
        <w:rPr>
          <w:rFonts w:ascii="宋体" w:hAnsi="宋体"/>
          <w:bCs/>
          <w:szCs w:val="22"/>
          <w:u w:val="single"/>
        </w:rPr>
      </w:pPr>
      <w:r>
        <w:rPr>
          <w:rFonts w:hint="eastAsia" w:ascii="宋体" w:hAnsi="宋体"/>
          <w:spacing w:val="-6"/>
          <w:szCs w:val="21"/>
        </w:rPr>
        <w:t>评估项目的是：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2.3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  <w:lang w:eastAsia="zh-CN"/>
        </w:rPr>
        <w:t>价值时点</w:t>
      </w:r>
      <w:r>
        <w:rPr>
          <w:rFonts w:hint="eastAsia" w:ascii="宋体" w:hAnsi="宋体"/>
          <w:b/>
        </w:rPr>
        <w:t xml:space="preserve">    </w:t>
      </w:r>
    </w:p>
    <w:p>
      <w:pPr>
        <w:tabs>
          <w:tab w:val="left" w:pos="540"/>
        </w:tabs>
        <w:snapToGrid w:val="0"/>
        <w:spacing w:line="420" w:lineRule="exact"/>
        <w:ind w:firstLine="420" w:firstLineChars="200"/>
        <w:rPr>
          <w:rFonts w:hint="eastAsia" w:ascii="宋体" w:hAnsi="宋体" w:eastAsia="宋体"/>
          <w:b w:val="0"/>
          <w:bCs/>
          <w:color w:val="0000FF"/>
          <w:u w:val="single"/>
          <w:lang w:eastAsia="zh-CN"/>
        </w:rPr>
      </w:pPr>
      <w:r>
        <w:rPr>
          <w:rFonts w:hint="eastAsia" w:ascii="宋体" w:hAnsi="宋体"/>
        </w:rPr>
        <w:t>本评估项目的价值时点</w:t>
      </w:r>
      <w:r>
        <w:rPr>
          <w:rFonts w:hint="eastAsia" w:ascii="宋体" w:hAnsi="宋体"/>
          <w:bCs/>
          <w:lang w:eastAsia="zh-CN"/>
        </w:rPr>
        <w:t>由估价委托人根据具体经济行为确定，以委托书记载为准。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估价委托人的责任和义务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3.1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</w:rPr>
        <w:t>甲方于</w:t>
      </w:r>
      <w:r>
        <w:rPr>
          <w:rFonts w:hint="eastAsia" w:ascii="宋体" w:hAnsi="宋体"/>
          <w:u w:val="single"/>
          <w:lang w:val="en-US" w:eastAsia="zh-CN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  <w:r>
        <w:rPr>
          <w:rFonts w:hint="eastAsia" w:ascii="宋体" w:hAnsi="宋体"/>
        </w:rPr>
        <w:t>日前向房地产估价机构提供评估所需的全部文件、会计记录、财产物资清单、产权证书及其他有关资料，并配合房地产估价机构进行现场勘察。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3.2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</w:rPr>
        <w:t>甲方应对所提供的所有资料的真实性、完整性、准确性和合法性承担法律责任，并保证没有隐匿或虚报的情况。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房地产估价机构的责任和义务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4.1</w:t>
      </w:r>
      <w:r>
        <w:rPr>
          <w:rFonts w:hint="eastAsia" w:ascii="宋体" w:hAnsi="宋体"/>
        </w:rPr>
        <w:t>乙方保证坚持独立、客观、公正的工作原则，在本合同规定的时间内，完成现场勘察；并根据评估目的，遵循相关的标准和程序，选择科学的方法，出具评估报告书。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4.2</w:t>
      </w:r>
      <w:r>
        <w:rPr>
          <w:rFonts w:hint="eastAsia" w:ascii="宋体" w:hAnsi="宋体"/>
        </w:rPr>
        <w:t>乙方保证评估结果的客观性、公允性、合法性。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4.3</w:t>
      </w:r>
      <w:r>
        <w:rPr>
          <w:rFonts w:hint="eastAsia" w:ascii="宋体" w:hAnsi="宋体"/>
        </w:rPr>
        <w:t>乙方应保守在估价活动中知悉的甲方的商业秘密，对甲方的有关情况、资料、评估结果保守秘密。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评估报告及其交付</w:t>
      </w:r>
    </w:p>
    <w:p>
      <w:pPr>
        <w:snapToGrid w:val="0"/>
        <w:spacing w:line="420" w:lineRule="exact"/>
        <w:ind w:firstLine="422" w:firstLineChars="200"/>
        <w:rPr>
          <w:rFonts w:hint="eastAsia" w:ascii="宋体" w:hAnsi="宋体"/>
        </w:rPr>
      </w:pPr>
      <w:r>
        <w:rPr>
          <w:rFonts w:hint="eastAsia" w:ascii="宋体" w:hAnsi="宋体"/>
          <w:b/>
        </w:rPr>
        <w:t>5.1</w:t>
      </w:r>
      <w:r>
        <w:rPr>
          <w:rFonts w:hint="eastAsia" w:ascii="宋体" w:hAnsi="宋体"/>
        </w:rPr>
        <w:t>提交评估报告的时间为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 xml:space="preserve">   </w:t>
      </w:r>
      <w:r>
        <w:rPr>
          <w:rFonts w:hint="eastAsia" w:ascii="宋体" w:hAnsi="宋体"/>
        </w:rPr>
        <w:t>日前。</w:t>
      </w:r>
    </w:p>
    <w:p>
      <w:pPr>
        <w:snapToGrid w:val="0"/>
        <w:spacing w:line="42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5.2提交评估报告类型为正式评估结果报告。提交评估报告份数</w:t>
      </w:r>
      <w:r>
        <w:rPr>
          <w:rFonts w:hint="eastAsia" w:ascii="宋体" w:hAnsi="宋体"/>
          <w:u w:val="single"/>
          <w:lang w:val="en-US" w:eastAsia="zh-CN"/>
        </w:rPr>
        <w:t xml:space="preserve">     </w:t>
      </w:r>
      <w:r>
        <w:rPr>
          <w:rFonts w:hint="eastAsia" w:ascii="宋体" w:hAnsi="宋体"/>
        </w:rPr>
        <w:t>份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评估费用及支付</w:t>
      </w:r>
    </w:p>
    <w:p>
      <w:pPr>
        <w:snapToGrid w:val="0"/>
        <w:spacing w:line="420" w:lineRule="exact"/>
        <w:ind w:firstLine="420" w:firstLineChars="200"/>
      </w:pPr>
      <w:r>
        <w:rPr>
          <w:rFonts w:hint="eastAsia" w:ascii="宋体" w:hAnsi="宋体"/>
        </w:rPr>
        <w:t>根据四川省有关规定和</w:t>
      </w:r>
      <w:r>
        <w:rPr>
          <w:rFonts w:hint="eastAsia" w:ascii="宋体" w:hAnsi="宋体"/>
          <w:lang w:eastAsia="zh-CN"/>
        </w:rPr>
        <w:t>估价对象</w:t>
      </w:r>
      <w:r>
        <w:rPr>
          <w:rFonts w:hint="eastAsia" w:ascii="宋体" w:hAnsi="宋体"/>
        </w:rPr>
        <w:t>的实际情况，经估价委托人和房地产估价机构协商，</w:t>
      </w:r>
      <w:r>
        <w:rPr>
          <w:rFonts w:hint="eastAsia"/>
        </w:rPr>
        <w:t>甲方同意评估费用为含税价</w:t>
      </w:r>
      <w:r>
        <w:rPr>
          <w:rFonts w:hint="eastAsia" w:ascii="宋体" w:hAnsi="宋体"/>
          <w:szCs w:val="21"/>
        </w:rPr>
        <w:t>人民币</w:t>
      </w:r>
      <w:r>
        <w:rPr>
          <w:rFonts w:hint="eastAsia" w:ascii="宋体" w:hAnsi="宋体"/>
        </w:rPr>
        <w:t xml:space="preserve"> ￥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元，大写人民币：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元整，在乙方向甲方提供正式评估报告时一次性付清到</w:t>
      </w:r>
      <w:r>
        <w:rPr>
          <w:rFonts w:hint="eastAsia" w:ascii="宋体" w:hAnsi="宋体"/>
          <w:u w:val="single"/>
          <w:lang w:val="en-US" w:eastAsia="zh-CN"/>
        </w:rPr>
        <w:t xml:space="preserve">        </w:t>
      </w:r>
      <w:r>
        <w:rPr>
          <w:rFonts w:hint="eastAsia" w:ascii="宋体" w:hAnsi="宋体"/>
        </w:rPr>
        <w:t>账号</w:t>
      </w:r>
      <w:r>
        <w:rPr>
          <w:rFonts w:hint="eastAsia"/>
        </w:rPr>
        <w:t>。</w:t>
      </w:r>
      <w:bookmarkStart w:id="1" w:name="_GoBack"/>
      <w:bookmarkEnd w:id="1"/>
    </w:p>
    <w:p>
      <w:pPr>
        <w:snapToGrid w:val="0"/>
        <w:spacing w:line="420" w:lineRule="exact"/>
        <w:ind w:firstLine="420" w:firstLineChars="200"/>
        <w:rPr>
          <w:rFonts w:ascii="宋体" w:hAnsi="宋体"/>
          <w:b/>
          <w:u w:val="single"/>
        </w:rPr>
      </w:pPr>
      <w:r>
        <w:rPr>
          <w:rFonts w:hint="eastAsia"/>
        </w:rPr>
        <w:t>公司付款账户：</w:t>
      </w:r>
    </w:p>
    <w:p>
      <w:pPr>
        <w:pStyle w:val="5"/>
        <w:snapToGrid w:val="0"/>
        <w:spacing w:line="420" w:lineRule="exact"/>
        <w:ind w:left="840" w:firstLine="0"/>
        <w:rPr>
          <w:rFonts w:ascii="Times New Roman" w:eastAsia="宋体"/>
          <w:b/>
          <w:kern w:val="2"/>
          <w:sz w:val="21"/>
        </w:rPr>
      </w:pPr>
      <w:r>
        <w:rPr>
          <w:rFonts w:ascii="Times New Roman" w:eastAsia="宋体"/>
          <w:b/>
          <w:kern w:val="2"/>
          <w:sz w:val="21"/>
        </w:rPr>
        <w:t>公司名称:</w:t>
      </w:r>
    </w:p>
    <w:p>
      <w:pPr>
        <w:pStyle w:val="5"/>
        <w:snapToGrid w:val="0"/>
        <w:spacing w:line="420" w:lineRule="exact"/>
        <w:ind w:left="840" w:firstLine="0"/>
        <w:rPr>
          <w:rFonts w:ascii="Times New Roman" w:eastAsia="宋体"/>
          <w:b/>
          <w:kern w:val="2"/>
          <w:sz w:val="21"/>
        </w:rPr>
      </w:pPr>
      <w:r>
        <w:rPr>
          <w:rFonts w:hint="eastAsia" w:ascii="Times New Roman" w:eastAsia="宋体"/>
          <w:b/>
          <w:kern w:val="2"/>
          <w:sz w:val="21"/>
        </w:rPr>
        <w:t>账</w:t>
      </w:r>
      <w:r>
        <w:rPr>
          <w:rFonts w:ascii="Times New Roman" w:eastAsia="宋体"/>
          <w:b/>
          <w:kern w:val="2"/>
          <w:sz w:val="21"/>
        </w:rPr>
        <w:t xml:space="preserve">  </w:t>
      </w:r>
      <w:r>
        <w:rPr>
          <w:rFonts w:hint="eastAsia" w:ascii="Times New Roman" w:eastAsia="宋体"/>
          <w:b/>
          <w:kern w:val="2"/>
          <w:sz w:val="21"/>
        </w:rPr>
        <w:t>号：</w:t>
      </w:r>
    </w:p>
    <w:p>
      <w:pPr>
        <w:pStyle w:val="5"/>
        <w:snapToGrid w:val="0"/>
        <w:spacing w:line="420" w:lineRule="exact"/>
        <w:ind w:left="840" w:firstLine="0"/>
        <w:rPr>
          <w:rFonts w:ascii="Times New Roman" w:eastAsia="宋体"/>
          <w:b/>
          <w:kern w:val="2"/>
          <w:sz w:val="21"/>
        </w:rPr>
      </w:pPr>
      <w:r>
        <w:rPr>
          <w:rFonts w:hint="eastAsia" w:ascii="Times New Roman" w:eastAsia="宋体"/>
          <w:b/>
          <w:kern w:val="2"/>
          <w:sz w:val="21"/>
        </w:rPr>
        <w:t>开户行：</w:t>
      </w:r>
    </w:p>
    <w:p>
      <w:pPr>
        <w:snapToGrid w:val="0"/>
        <w:spacing w:line="420" w:lineRule="exact"/>
        <w:ind w:firstLine="241" w:firstLineChars="10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本协议书的生效</w:t>
      </w:r>
    </w:p>
    <w:p>
      <w:pPr>
        <w:snapToGrid w:val="0"/>
        <w:spacing w:line="420" w:lineRule="exact"/>
        <w:ind w:firstLine="420" w:firstLineChars="200"/>
      </w:pPr>
      <w:r>
        <w:rPr>
          <w:rFonts w:hint="eastAsia"/>
        </w:rPr>
        <w:t>本协议书于双方法定代表人</w:t>
      </w:r>
      <w:r>
        <w:t>(</w:t>
      </w:r>
      <w:r>
        <w:rPr>
          <w:rFonts w:hint="eastAsia"/>
        </w:rPr>
        <w:t>或委托人）签字盖章之日起生效，双方不得以任何借口单方解除合同。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违约责任</w:t>
      </w:r>
    </w:p>
    <w:p>
      <w:pPr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如果甲方按本合同规定全面履行其义务，乙方未能按要求完成评估任务，视同违约，应退回已收评估费用；如果乙方按本合同规定全面履行其义务，而甲方单方面解除合同，则甲方必须向乙方支付全部费用。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甲、乙各方若有违约行为，按《中华人民共和国民法典》的规定，承担违约责任。</w:t>
      </w:r>
    </w:p>
    <w:p>
      <w:pPr>
        <w:numPr>
          <w:ilvl w:val="0"/>
          <w:numId w:val="1"/>
        </w:numPr>
        <w:tabs>
          <w:tab w:val="left" w:pos="540"/>
          <w:tab w:val="clear" w:pos="1260"/>
        </w:tabs>
        <w:snapToGrid w:val="0"/>
        <w:spacing w:line="420" w:lineRule="exact"/>
        <w:ind w:hanging="1260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其他约定事项</w:t>
      </w:r>
    </w:p>
    <w:p>
      <w:pPr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为加强对已出具报告的管理，尊重乙方劳动成果，原则上已经出具的报告甲方不得无故退回，确属特殊原因需退报告的，甲方必须将所有出具的报告原件完整退回乙方，如有开具收款票据，票据必须随报告一同退回。退回报告甲方需向乙方缴纳一定的材料工本费。工本费收取标准如下：</w:t>
      </w:r>
    </w:p>
    <w:p>
      <w:pPr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.1个贷报告：个人名下的住宅报告退报告工本费不少于200元/份；其他类型报告退报告工本费不少于300元/份。</w:t>
      </w:r>
    </w:p>
    <w:p>
      <w:pPr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2对公报告：（1）评估总值2000万以内，退报告工本费不少于500元/份；（2）评估总值大于2000万小于5000万的，退报告工本费不少于1000元/份；（3）评估总值大于5000万小于10000万的，退报告工本费不少于1500元/份；（4）评估总值大于10000万的，退报告工本费不少于2500元/份。</w:t>
      </w:r>
    </w:p>
    <w:p>
      <w:pPr>
        <w:snapToGrid w:val="0"/>
        <w:spacing w:line="4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.3资产报告：机械设备类资产报告退报告工本费的收取标准参考对公报告的规定。</w:t>
      </w:r>
    </w:p>
    <w:p>
      <w:pPr>
        <w:snapToGrid w:val="0"/>
        <w:spacing w:line="42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本委托书一式</w:t>
      </w:r>
      <w:r>
        <w:rPr>
          <w:rFonts w:hint="eastAsia" w:ascii="宋体" w:hAnsi="宋体"/>
          <w:b/>
          <w:lang w:val="en-US" w:eastAsia="zh-CN"/>
        </w:rPr>
        <w:t>叁</w:t>
      </w:r>
      <w:r>
        <w:rPr>
          <w:rFonts w:hint="eastAsia" w:ascii="宋体" w:hAnsi="宋体"/>
          <w:b/>
        </w:rPr>
        <w:t>份，由甲方持</w:t>
      </w:r>
      <w:r>
        <w:rPr>
          <w:rFonts w:hint="eastAsia" w:ascii="宋体" w:hAnsi="宋体"/>
          <w:b/>
          <w:lang w:val="en-US" w:eastAsia="zh-CN"/>
        </w:rPr>
        <w:t>贰</w:t>
      </w:r>
      <w:r>
        <w:rPr>
          <w:rFonts w:hint="eastAsia" w:ascii="宋体" w:hAnsi="宋体"/>
          <w:b/>
        </w:rPr>
        <w:t>份，乙方持壹份。均具有同等的法律效力。</w:t>
      </w:r>
    </w:p>
    <w:p>
      <w:pPr>
        <w:snapToGrid w:val="0"/>
        <w:spacing w:line="420" w:lineRule="exact"/>
        <w:ind w:left="6534" w:leftChars="200" w:hanging="6114" w:hangingChars="2900"/>
        <w:rPr>
          <w:rFonts w:ascii="宋体" w:hAnsi="宋体"/>
          <w:b/>
          <w:bCs/>
        </w:rPr>
      </w:pPr>
    </w:p>
    <w:p>
      <w:pPr>
        <w:snapToGrid w:val="0"/>
        <w:spacing w:line="420" w:lineRule="exact"/>
        <w:ind w:left="6534" w:leftChars="200" w:hanging="6114" w:hangingChars="2900"/>
        <w:rPr>
          <w:rFonts w:ascii="宋体" w:hAnsi="宋体"/>
          <w:b/>
          <w:bCs/>
        </w:rPr>
      </w:pPr>
    </w:p>
    <w:p>
      <w:pPr>
        <w:snapToGrid w:val="0"/>
        <w:spacing w:line="420" w:lineRule="exact"/>
        <w:jc w:val="both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估价委托人：</w:t>
      </w:r>
      <w:r>
        <w:rPr>
          <w:rFonts w:hint="eastAsia" w:ascii="宋体" w:hAnsi="宋体"/>
          <w:b/>
          <w:bCs/>
          <w:lang w:val="en-US" w:eastAsia="zh-CN"/>
        </w:rPr>
        <w:t xml:space="preserve"> </w:t>
      </w:r>
      <w:r>
        <w:rPr>
          <w:rFonts w:hint="eastAsia" w:ascii="宋体" w:hAnsi="宋体"/>
          <w:b/>
          <w:bCs/>
        </w:rPr>
        <w:t xml:space="preserve">  </w:t>
      </w:r>
      <w:r>
        <w:rPr>
          <w:rFonts w:hint="eastAsia" w:ascii="宋体" w:hAnsi="宋体"/>
          <w:b/>
          <w:bCs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/>
          <w:bCs/>
        </w:rPr>
        <w:t>房地产估价机构：</w:t>
      </w:r>
    </w:p>
    <w:p>
      <w:pPr>
        <w:snapToGrid w:val="0"/>
        <w:spacing w:line="420" w:lineRule="exact"/>
        <w:ind w:firstLine="571" w:firstLineChars="271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（签章）                                                       （签章）</w:t>
      </w:r>
    </w:p>
    <w:p>
      <w:pPr>
        <w:snapToGrid w:val="0"/>
        <w:spacing w:line="420" w:lineRule="exact"/>
        <w:ind w:left="6511" w:leftChars="3000" w:hanging="211" w:hangingChars="1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签订日期： 年  月   日</w:t>
      </w:r>
    </w:p>
    <w:p>
      <w:pPr>
        <w:spacing w:line="420" w:lineRule="exact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134" w:bottom="1418" w:left="1134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color w:val="808080"/>
        <w:sz w:val="13"/>
        <w:szCs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dashSmallGap" w:color="auto" w:sz="4" w:space="3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16510"/>
          <wp:wrapNone/>
          <wp:docPr id="3" name="WordPictureWatermark2" descr="深圳市国策房地产logo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" descr="深圳市国策房地产logo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16510"/>
          <wp:wrapNone/>
          <wp:docPr id="2" name="WordPictureWatermark1" descr="深圳市国策房地产logo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深圳市国策房地产logo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A02F7"/>
    <w:multiLevelType w:val="multilevel"/>
    <w:tmpl w:val="6ECA02F7"/>
    <w:lvl w:ilvl="0" w:tentative="0">
      <w:start w:val="1"/>
      <w:numFmt w:val="chineseCountingThousand"/>
      <w:lvlText w:val="%1、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00C109CB"/>
    <w:rsid w:val="00000B0F"/>
    <w:rsid w:val="00001EB5"/>
    <w:rsid w:val="000046F7"/>
    <w:rsid w:val="00011FCF"/>
    <w:rsid w:val="00014925"/>
    <w:rsid w:val="00032BFC"/>
    <w:rsid w:val="00050238"/>
    <w:rsid w:val="0005431B"/>
    <w:rsid w:val="000558B3"/>
    <w:rsid w:val="00080E81"/>
    <w:rsid w:val="0008146D"/>
    <w:rsid w:val="000B6100"/>
    <w:rsid w:val="000C60BA"/>
    <w:rsid w:val="000E019C"/>
    <w:rsid w:val="000E4716"/>
    <w:rsid w:val="000F47D6"/>
    <w:rsid w:val="0010176A"/>
    <w:rsid w:val="00113B52"/>
    <w:rsid w:val="00113FE8"/>
    <w:rsid w:val="0011743D"/>
    <w:rsid w:val="0014454A"/>
    <w:rsid w:val="0014642D"/>
    <w:rsid w:val="001469A1"/>
    <w:rsid w:val="00146FDE"/>
    <w:rsid w:val="0015002A"/>
    <w:rsid w:val="00160757"/>
    <w:rsid w:val="0016623F"/>
    <w:rsid w:val="0017284D"/>
    <w:rsid w:val="00174830"/>
    <w:rsid w:val="001A3395"/>
    <w:rsid w:val="001A34D7"/>
    <w:rsid w:val="001A663F"/>
    <w:rsid w:val="001B351E"/>
    <w:rsid w:val="001B6116"/>
    <w:rsid w:val="001D097A"/>
    <w:rsid w:val="001D603D"/>
    <w:rsid w:val="001D61FC"/>
    <w:rsid w:val="001F26CF"/>
    <w:rsid w:val="001F5834"/>
    <w:rsid w:val="00216663"/>
    <w:rsid w:val="00224172"/>
    <w:rsid w:val="00254DD5"/>
    <w:rsid w:val="002617D3"/>
    <w:rsid w:val="00267DC9"/>
    <w:rsid w:val="002710AA"/>
    <w:rsid w:val="00272654"/>
    <w:rsid w:val="0028331B"/>
    <w:rsid w:val="00284FBD"/>
    <w:rsid w:val="00286E11"/>
    <w:rsid w:val="00294A09"/>
    <w:rsid w:val="002977C6"/>
    <w:rsid w:val="002A4AC8"/>
    <w:rsid w:val="002B1F84"/>
    <w:rsid w:val="002C6947"/>
    <w:rsid w:val="002D1A5D"/>
    <w:rsid w:val="002D3C22"/>
    <w:rsid w:val="002D5B77"/>
    <w:rsid w:val="002E375F"/>
    <w:rsid w:val="002E6A60"/>
    <w:rsid w:val="002E6AB5"/>
    <w:rsid w:val="002F22D6"/>
    <w:rsid w:val="00301C30"/>
    <w:rsid w:val="00304742"/>
    <w:rsid w:val="00324DAE"/>
    <w:rsid w:val="00327954"/>
    <w:rsid w:val="0033072F"/>
    <w:rsid w:val="00333CBA"/>
    <w:rsid w:val="00340AB9"/>
    <w:rsid w:val="00351552"/>
    <w:rsid w:val="003522FA"/>
    <w:rsid w:val="003618ED"/>
    <w:rsid w:val="00366668"/>
    <w:rsid w:val="003750A8"/>
    <w:rsid w:val="00376E0E"/>
    <w:rsid w:val="00382DCB"/>
    <w:rsid w:val="00395E7F"/>
    <w:rsid w:val="003A4A12"/>
    <w:rsid w:val="003B72BA"/>
    <w:rsid w:val="003C7DF7"/>
    <w:rsid w:val="003D166F"/>
    <w:rsid w:val="003D1C10"/>
    <w:rsid w:val="003D6E2D"/>
    <w:rsid w:val="003E1FEF"/>
    <w:rsid w:val="003E467D"/>
    <w:rsid w:val="003E4F14"/>
    <w:rsid w:val="003F1B66"/>
    <w:rsid w:val="00411953"/>
    <w:rsid w:val="00414F4B"/>
    <w:rsid w:val="00425786"/>
    <w:rsid w:val="0044182E"/>
    <w:rsid w:val="004418C4"/>
    <w:rsid w:val="00445D87"/>
    <w:rsid w:val="00457F55"/>
    <w:rsid w:val="004638D5"/>
    <w:rsid w:val="00472351"/>
    <w:rsid w:val="00493CA8"/>
    <w:rsid w:val="004973AE"/>
    <w:rsid w:val="004A5138"/>
    <w:rsid w:val="004A5CAD"/>
    <w:rsid w:val="004B6DAA"/>
    <w:rsid w:val="004D0244"/>
    <w:rsid w:val="004D3BCF"/>
    <w:rsid w:val="004E2F2F"/>
    <w:rsid w:val="005151C1"/>
    <w:rsid w:val="00530462"/>
    <w:rsid w:val="00531AB3"/>
    <w:rsid w:val="00536313"/>
    <w:rsid w:val="0054678A"/>
    <w:rsid w:val="00555F16"/>
    <w:rsid w:val="005647C6"/>
    <w:rsid w:val="00580B19"/>
    <w:rsid w:val="005852D6"/>
    <w:rsid w:val="00592F26"/>
    <w:rsid w:val="0059746D"/>
    <w:rsid w:val="005B205C"/>
    <w:rsid w:val="005C3C77"/>
    <w:rsid w:val="005C4BB5"/>
    <w:rsid w:val="005C5124"/>
    <w:rsid w:val="005E02CE"/>
    <w:rsid w:val="005E1101"/>
    <w:rsid w:val="005E1311"/>
    <w:rsid w:val="005E32C7"/>
    <w:rsid w:val="005E5C40"/>
    <w:rsid w:val="005E5F44"/>
    <w:rsid w:val="005E780C"/>
    <w:rsid w:val="005F23DC"/>
    <w:rsid w:val="00624880"/>
    <w:rsid w:val="0062518C"/>
    <w:rsid w:val="0062613B"/>
    <w:rsid w:val="006336D0"/>
    <w:rsid w:val="00634521"/>
    <w:rsid w:val="00636D29"/>
    <w:rsid w:val="006376A7"/>
    <w:rsid w:val="00641C0E"/>
    <w:rsid w:val="006538D6"/>
    <w:rsid w:val="006626F9"/>
    <w:rsid w:val="006676E9"/>
    <w:rsid w:val="006710F8"/>
    <w:rsid w:val="00685D34"/>
    <w:rsid w:val="00691776"/>
    <w:rsid w:val="006C348E"/>
    <w:rsid w:val="006C37B9"/>
    <w:rsid w:val="006D7802"/>
    <w:rsid w:val="006E391A"/>
    <w:rsid w:val="006E4C0C"/>
    <w:rsid w:val="006E65CF"/>
    <w:rsid w:val="006F0E69"/>
    <w:rsid w:val="006F24D2"/>
    <w:rsid w:val="006F7801"/>
    <w:rsid w:val="007016B2"/>
    <w:rsid w:val="00704147"/>
    <w:rsid w:val="007322F4"/>
    <w:rsid w:val="00733FF0"/>
    <w:rsid w:val="0074136F"/>
    <w:rsid w:val="007414AF"/>
    <w:rsid w:val="007542D1"/>
    <w:rsid w:val="0075615F"/>
    <w:rsid w:val="00765548"/>
    <w:rsid w:val="00766B87"/>
    <w:rsid w:val="00772178"/>
    <w:rsid w:val="00776077"/>
    <w:rsid w:val="00787E4F"/>
    <w:rsid w:val="00792024"/>
    <w:rsid w:val="00797573"/>
    <w:rsid w:val="007B1C1E"/>
    <w:rsid w:val="007C5C94"/>
    <w:rsid w:val="007E0DBE"/>
    <w:rsid w:val="007E2EE9"/>
    <w:rsid w:val="008029FE"/>
    <w:rsid w:val="008125C1"/>
    <w:rsid w:val="00813B7F"/>
    <w:rsid w:val="00846AD5"/>
    <w:rsid w:val="00846E29"/>
    <w:rsid w:val="00847D04"/>
    <w:rsid w:val="00847E83"/>
    <w:rsid w:val="008519DF"/>
    <w:rsid w:val="008558F1"/>
    <w:rsid w:val="00856CD1"/>
    <w:rsid w:val="00860CB6"/>
    <w:rsid w:val="008646EA"/>
    <w:rsid w:val="008668F2"/>
    <w:rsid w:val="00873643"/>
    <w:rsid w:val="00873FC5"/>
    <w:rsid w:val="008745BF"/>
    <w:rsid w:val="00885F93"/>
    <w:rsid w:val="008A1549"/>
    <w:rsid w:val="008C5DFB"/>
    <w:rsid w:val="008E58D2"/>
    <w:rsid w:val="008E5F29"/>
    <w:rsid w:val="008F7D70"/>
    <w:rsid w:val="00900690"/>
    <w:rsid w:val="00907881"/>
    <w:rsid w:val="00913788"/>
    <w:rsid w:val="00914C48"/>
    <w:rsid w:val="00916C50"/>
    <w:rsid w:val="00921D63"/>
    <w:rsid w:val="00940729"/>
    <w:rsid w:val="00941B47"/>
    <w:rsid w:val="00942889"/>
    <w:rsid w:val="00950711"/>
    <w:rsid w:val="0095193C"/>
    <w:rsid w:val="00951CF2"/>
    <w:rsid w:val="0097089B"/>
    <w:rsid w:val="009720BD"/>
    <w:rsid w:val="00973C58"/>
    <w:rsid w:val="009779D8"/>
    <w:rsid w:val="0098133C"/>
    <w:rsid w:val="00981403"/>
    <w:rsid w:val="00991DFF"/>
    <w:rsid w:val="009A3D5B"/>
    <w:rsid w:val="009C3D0C"/>
    <w:rsid w:val="009D1E49"/>
    <w:rsid w:val="009D61B2"/>
    <w:rsid w:val="00A02FC1"/>
    <w:rsid w:val="00A0369F"/>
    <w:rsid w:val="00A05266"/>
    <w:rsid w:val="00A26D54"/>
    <w:rsid w:val="00A33740"/>
    <w:rsid w:val="00A40556"/>
    <w:rsid w:val="00A460A8"/>
    <w:rsid w:val="00A460C3"/>
    <w:rsid w:val="00A53114"/>
    <w:rsid w:val="00A65401"/>
    <w:rsid w:val="00A72C46"/>
    <w:rsid w:val="00A75C35"/>
    <w:rsid w:val="00A82BD6"/>
    <w:rsid w:val="00A908CC"/>
    <w:rsid w:val="00AD4702"/>
    <w:rsid w:val="00AE6564"/>
    <w:rsid w:val="00AF33E1"/>
    <w:rsid w:val="00AF7705"/>
    <w:rsid w:val="00B07E6A"/>
    <w:rsid w:val="00B14383"/>
    <w:rsid w:val="00B14BCE"/>
    <w:rsid w:val="00B16CB0"/>
    <w:rsid w:val="00B20CAC"/>
    <w:rsid w:val="00B423AE"/>
    <w:rsid w:val="00B44828"/>
    <w:rsid w:val="00B6590F"/>
    <w:rsid w:val="00B67AAA"/>
    <w:rsid w:val="00B71929"/>
    <w:rsid w:val="00B801B8"/>
    <w:rsid w:val="00BA1312"/>
    <w:rsid w:val="00BA7BB5"/>
    <w:rsid w:val="00BD20F8"/>
    <w:rsid w:val="00BD486F"/>
    <w:rsid w:val="00C036AC"/>
    <w:rsid w:val="00C109CB"/>
    <w:rsid w:val="00C22FB0"/>
    <w:rsid w:val="00C272E6"/>
    <w:rsid w:val="00C353C5"/>
    <w:rsid w:val="00C41417"/>
    <w:rsid w:val="00C715AA"/>
    <w:rsid w:val="00C74F15"/>
    <w:rsid w:val="00C93734"/>
    <w:rsid w:val="00C93802"/>
    <w:rsid w:val="00CA08B2"/>
    <w:rsid w:val="00CA0C64"/>
    <w:rsid w:val="00CB55EC"/>
    <w:rsid w:val="00CB5C30"/>
    <w:rsid w:val="00CC5E92"/>
    <w:rsid w:val="00CC79B0"/>
    <w:rsid w:val="00CD6596"/>
    <w:rsid w:val="00CE43D0"/>
    <w:rsid w:val="00CF3BF5"/>
    <w:rsid w:val="00CF4380"/>
    <w:rsid w:val="00CF6925"/>
    <w:rsid w:val="00D05B2F"/>
    <w:rsid w:val="00D12812"/>
    <w:rsid w:val="00D250C9"/>
    <w:rsid w:val="00D43C51"/>
    <w:rsid w:val="00D51F6A"/>
    <w:rsid w:val="00D5212D"/>
    <w:rsid w:val="00D55CB0"/>
    <w:rsid w:val="00D56598"/>
    <w:rsid w:val="00D65793"/>
    <w:rsid w:val="00D70D28"/>
    <w:rsid w:val="00D752E1"/>
    <w:rsid w:val="00D76482"/>
    <w:rsid w:val="00D76997"/>
    <w:rsid w:val="00D804AE"/>
    <w:rsid w:val="00D863AD"/>
    <w:rsid w:val="00D90C96"/>
    <w:rsid w:val="00DA1BED"/>
    <w:rsid w:val="00DA4922"/>
    <w:rsid w:val="00DB721A"/>
    <w:rsid w:val="00DC2EB1"/>
    <w:rsid w:val="00DF0A2D"/>
    <w:rsid w:val="00DF5E42"/>
    <w:rsid w:val="00E06BF4"/>
    <w:rsid w:val="00E07B12"/>
    <w:rsid w:val="00E22FC1"/>
    <w:rsid w:val="00E37A34"/>
    <w:rsid w:val="00E50734"/>
    <w:rsid w:val="00E63D06"/>
    <w:rsid w:val="00E677FE"/>
    <w:rsid w:val="00E839EB"/>
    <w:rsid w:val="00E90451"/>
    <w:rsid w:val="00E906FD"/>
    <w:rsid w:val="00E96747"/>
    <w:rsid w:val="00EA1930"/>
    <w:rsid w:val="00EA4050"/>
    <w:rsid w:val="00EB3AE3"/>
    <w:rsid w:val="00EB4AEA"/>
    <w:rsid w:val="00EC0F51"/>
    <w:rsid w:val="00EC1288"/>
    <w:rsid w:val="00ED16EF"/>
    <w:rsid w:val="00ED2FFB"/>
    <w:rsid w:val="00ED4D3E"/>
    <w:rsid w:val="00ED6384"/>
    <w:rsid w:val="00EE0F25"/>
    <w:rsid w:val="00EE0FA9"/>
    <w:rsid w:val="00EF048D"/>
    <w:rsid w:val="00F06425"/>
    <w:rsid w:val="00F26305"/>
    <w:rsid w:val="00F45B6D"/>
    <w:rsid w:val="00F474D7"/>
    <w:rsid w:val="00F51D4A"/>
    <w:rsid w:val="00F531F7"/>
    <w:rsid w:val="00F71620"/>
    <w:rsid w:val="00F900D4"/>
    <w:rsid w:val="00FA2AB3"/>
    <w:rsid w:val="00FB07F6"/>
    <w:rsid w:val="00FB0CEC"/>
    <w:rsid w:val="00FD3090"/>
    <w:rsid w:val="00FE3F15"/>
    <w:rsid w:val="00FF5570"/>
    <w:rsid w:val="00FF77E8"/>
    <w:rsid w:val="04AB1829"/>
    <w:rsid w:val="060F0777"/>
    <w:rsid w:val="066532B3"/>
    <w:rsid w:val="06AE1E72"/>
    <w:rsid w:val="06CA0C48"/>
    <w:rsid w:val="07B938DF"/>
    <w:rsid w:val="08F8018D"/>
    <w:rsid w:val="0D701027"/>
    <w:rsid w:val="109270B5"/>
    <w:rsid w:val="14102BE5"/>
    <w:rsid w:val="14BE0368"/>
    <w:rsid w:val="15EB2186"/>
    <w:rsid w:val="17D608A2"/>
    <w:rsid w:val="1895630F"/>
    <w:rsid w:val="18E323B5"/>
    <w:rsid w:val="1A1E64A3"/>
    <w:rsid w:val="1D5A1EF8"/>
    <w:rsid w:val="1EA679C3"/>
    <w:rsid w:val="20C03C50"/>
    <w:rsid w:val="26FA04CC"/>
    <w:rsid w:val="26FA5584"/>
    <w:rsid w:val="272D6B46"/>
    <w:rsid w:val="28D96548"/>
    <w:rsid w:val="29D22888"/>
    <w:rsid w:val="2E1A79B3"/>
    <w:rsid w:val="2F545846"/>
    <w:rsid w:val="2FCA53A8"/>
    <w:rsid w:val="2FCD754C"/>
    <w:rsid w:val="33633B0F"/>
    <w:rsid w:val="339A4A2D"/>
    <w:rsid w:val="36636E11"/>
    <w:rsid w:val="38925ABD"/>
    <w:rsid w:val="3A474789"/>
    <w:rsid w:val="3A930FE9"/>
    <w:rsid w:val="3B7730BE"/>
    <w:rsid w:val="3DFD4849"/>
    <w:rsid w:val="3FC56AF8"/>
    <w:rsid w:val="422A05F5"/>
    <w:rsid w:val="42BA28C8"/>
    <w:rsid w:val="4312304B"/>
    <w:rsid w:val="431936BD"/>
    <w:rsid w:val="43C66936"/>
    <w:rsid w:val="47010828"/>
    <w:rsid w:val="47330391"/>
    <w:rsid w:val="48A467E2"/>
    <w:rsid w:val="499C2E85"/>
    <w:rsid w:val="4CCF255F"/>
    <w:rsid w:val="4DC46DD6"/>
    <w:rsid w:val="501E1474"/>
    <w:rsid w:val="51175BD1"/>
    <w:rsid w:val="51B64D59"/>
    <w:rsid w:val="553D21BC"/>
    <w:rsid w:val="55C4153F"/>
    <w:rsid w:val="57C73F95"/>
    <w:rsid w:val="5DFC63E7"/>
    <w:rsid w:val="5F093B30"/>
    <w:rsid w:val="605E381E"/>
    <w:rsid w:val="622B530C"/>
    <w:rsid w:val="62FA181C"/>
    <w:rsid w:val="68880D1C"/>
    <w:rsid w:val="693D7497"/>
    <w:rsid w:val="6B1046F4"/>
    <w:rsid w:val="6C0A08AF"/>
    <w:rsid w:val="6F394CDC"/>
    <w:rsid w:val="70EB53D8"/>
    <w:rsid w:val="70F46F04"/>
    <w:rsid w:val="73F55841"/>
    <w:rsid w:val="7407755F"/>
    <w:rsid w:val="7917215F"/>
    <w:rsid w:val="7A907879"/>
    <w:rsid w:val="7BF62E49"/>
    <w:rsid w:val="7CE202FD"/>
    <w:rsid w:val="7D452F74"/>
    <w:rsid w:val="7FC53184"/>
    <w:rsid w:val="7FD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500" w:lineRule="exact"/>
      <w:ind w:firstLine="420"/>
      <w:jc w:val="left"/>
    </w:pPr>
    <w:rPr>
      <w:kern w:val="0"/>
      <w:sz w:val="2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 Indent"/>
    <w:basedOn w:val="1"/>
    <w:link w:val="22"/>
    <w:qFormat/>
    <w:uiPriority w:val="0"/>
    <w:pPr>
      <w:widowControl/>
      <w:adjustRightInd w:val="0"/>
      <w:ind w:left="240" w:firstLine="1025"/>
      <w:jc w:val="left"/>
      <w:textAlignment w:val="baseline"/>
    </w:pPr>
    <w:rPr>
      <w:rFonts w:ascii="楷体_GB2312" w:eastAsia="楷体_GB2312"/>
      <w:kern w:val="0"/>
      <w:sz w:val="24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A4"/>
    <w:qFormat/>
    <w:uiPriority w:val="0"/>
    <w:rPr>
      <w:color w:val="000000"/>
      <w:sz w:val="14"/>
      <w:szCs w:val="14"/>
    </w:rPr>
  </w:style>
  <w:style w:type="character" w:customStyle="1" w:styleId="16">
    <w:name w:val="日期 Char"/>
    <w:link w:val="6"/>
    <w:qFormat/>
    <w:uiPriority w:val="0"/>
    <w:rPr>
      <w:kern w:val="2"/>
      <w:sz w:val="21"/>
    </w:rPr>
  </w:style>
  <w:style w:type="character" w:customStyle="1" w:styleId="17">
    <w:name w:val="批注文字 Char"/>
    <w:link w:val="4"/>
    <w:qFormat/>
    <w:uiPriority w:val="0"/>
    <w:rPr>
      <w:kern w:val="2"/>
      <w:sz w:val="21"/>
    </w:rPr>
  </w:style>
  <w:style w:type="character" w:customStyle="1" w:styleId="18">
    <w:name w:val="批注主题 Char"/>
    <w:link w:val="10"/>
    <w:qFormat/>
    <w:uiPriority w:val="0"/>
    <w:rPr>
      <w:b/>
      <w:bCs/>
      <w:kern w:val="2"/>
      <w:sz w:val="21"/>
    </w:rPr>
  </w:style>
  <w:style w:type="character" w:customStyle="1" w:styleId="19">
    <w:name w:val="error"/>
    <w:qFormat/>
    <w:uiPriority w:val="0"/>
    <w:rPr>
      <w:color w:val="000000"/>
      <w:bdr w:val="single" w:color="CC8619" w:sz="6" w:space="0"/>
      <w:shd w:val="clear" w:color="auto" w:fill="FCDA63"/>
    </w:rPr>
  </w:style>
  <w:style w:type="paragraph" w:customStyle="1" w:styleId="20">
    <w:name w:val="Pa4"/>
    <w:basedOn w:val="3"/>
    <w:next w:val="3"/>
    <w:qFormat/>
    <w:uiPriority w:val="0"/>
    <w:pPr>
      <w:spacing w:line="241" w:lineRule="atLeast"/>
    </w:pPr>
    <w:rPr>
      <w:color w:val="auto"/>
      <w:sz w:val="20"/>
    </w:rPr>
  </w:style>
  <w:style w:type="character" w:customStyle="1" w:styleId="21">
    <w:name w:val="正文文本缩进 字符"/>
    <w:qFormat/>
    <w:uiPriority w:val="0"/>
    <w:rPr>
      <w:kern w:val="2"/>
      <w:sz w:val="21"/>
    </w:rPr>
  </w:style>
  <w:style w:type="character" w:customStyle="1" w:styleId="22">
    <w:name w:val="正文文本缩进 Char"/>
    <w:link w:val="5"/>
    <w:qFormat/>
    <w:uiPriority w:val="0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1191</Words>
  <Characters>1256</Characters>
  <Lines>15</Lines>
  <Paragraphs>4</Paragraphs>
  <TotalTime>24</TotalTime>
  <ScaleCrop>false</ScaleCrop>
  <LinksUpToDate>false</LinksUpToDate>
  <CharactersWithSpaces>1835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2022-03-22T08:06:00Z</dcterms:created>
  <dc:creator>lxq</dc:creator>
  <cp:lastModifiedBy>哎</cp:lastModifiedBy>
  <cp:lastPrinted>2014-08-21T10:02:00Z</cp:lastPrinted>
  <dcterms:modified xsi:type="dcterms:W3CDTF">2024-05-14T10:01:55Z</dcterms:modified>
  <dc:title>物业评估信息、查勘表(办公楼)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E6F6D25C4C804BEAB1A336251C753A47_13</vt:lpwstr>
  </property>
</Properties>
</file>