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报价模板：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广汉兴鑫水务有限责任公司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关于采购第二污水处理厂</w:t>
      </w: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生化池污泥脱水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服务项目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8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73"/>
        <w:gridCol w:w="660"/>
        <w:gridCol w:w="1050"/>
        <w:gridCol w:w="133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 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（元/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33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总价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（元/年）</w:t>
            </w:r>
          </w:p>
        </w:tc>
        <w:tc>
          <w:tcPr>
            <w:tcW w:w="202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91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7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第二污水处理厂生化池污泥脱水服务</w:t>
            </w:r>
          </w:p>
        </w:tc>
        <w:tc>
          <w:tcPr>
            <w:tcW w:w="66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05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注：该报价包括但不限于完成本项目所需的设施设备、人工、药剂、耗材、现场安装、调试、配套土建及税金等一切费用。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keepNext/>
        <w:keepLines/>
        <w:widowControl w:val="0"/>
        <w:spacing w:before="260" w:after="260" w:line="416" w:lineRule="auto"/>
        <w:ind w:left="0" w:leftChars="0" w:firstLine="0" w:firstLineChars="0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报价人：</w:t>
      </w:r>
    </w:p>
    <w:p>
      <w:pPr>
        <w:keepNext/>
        <w:keepLines/>
        <w:widowControl w:val="0"/>
        <w:spacing w:before="260" w:after="260" w:line="416" w:lineRule="auto"/>
        <w:jc w:val="both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报价时间：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1AF1779"/>
    <w:rsid w:val="0681408C"/>
    <w:rsid w:val="1D81772B"/>
    <w:rsid w:val="307C5A50"/>
    <w:rsid w:val="4B667F63"/>
    <w:rsid w:val="5120323A"/>
    <w:rsid w:val="53892BBB"/>
    <w:rsid w:val="587B6886"/>
    <w:rsid w:val="5DAB78D0"/>
    <w:rsid w:val="741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6">
    <w:name w:val="heading 3"/>
    <w:basedOn w:val="1"/>
    <w:next w:val="1"/>
    <w:link w:val="10"/>
    <w:autoRedefine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autoRedefine/>
    <w:qFormat/>
    <w:uiPriority w:val="0"/>
    <w:rPr>
      <w:rFonts w:eastAsia="黑体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2024-04-30T01:01:59Z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3A86BDFD063E403A9F5B72A4556E1230_12</vt:lpwstr>
  </property>
</Properties>
</file>