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color w:val="auto"/>
          <w:spacing w:val="-20"/>
          <w:w w:val="95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-20"/>
          <w:w w:val="95"/>
          <w:kern w:val="0"/>
          <w:sz w:val="32"/>
          <w:szCs w:val="32"/>
        </w:rPr>
        <w:t xml:space="preserve">                                                  </w:t>
      </w:r>
    </w:p>
    <w:p>
      <w:pPr>
        <w:widowControl/>
        <w:jc w:val="center"/>
        <w:rPr>
          <w:rFonts w:hint="default" w:ascii="Times New Roman" w:hAnsi="Times New Roman" w:eastAsia="方正小标宋简体" w:cs="Times New Roman"/>
          <w:color w:val="auto"/>
          <w:w w:val="95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w w:val="95"/>
          <w:kern w:val="0"/>
          <w:sz w:val="44"/>
          <w:szCs w:val="44"/>
          <w:lang w:val="en-US" w:eastAsia="zh-CN"/>
        </w:rPr>
        <w:t>广汉市广鑫投资发展有限公司内部竞聘</w:t>
      </w:r>
      <w:r>
        <w:rPr>
          <w:rFonts w:hint="default" w:ascii="Times New Roman" w:hAnsi="Times New Roman" w:eastAsia="方正小标宋简体" w:cs="Times New Roman"/>
          <w:color w:val="auto"/>
          <w:w w:val="95"/>
          <w:kern w:val="0"/>
          <w:sz w:val="44"/>
          <w:szCs w:val="44"/>
        </w:rPr>
        <w:t>职位表</w:t>
      </w:r>
    </w:p>
    <w:tbl>
      <w:tblPr>
        <w:tblStyle w:val="4"/>
        <w:tblpPr w:leftFromText="180" w:rightFromText="180" w:vertAnchor="text" w:horzAnchor="page" w:tblpX="887" w:tblpY="495"/>
        <w:tblOverlap w:val="never"/>
        <w:tblW w:w="1536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1486"/>
        <w:gridCol w:w="1055"/>
        <w:gridCol w:w="1362"/>
        <w:gridCol w:w="709"/>
        <w:gridCol w:w="1615"/>
        <w:gridCol w:w="1433"/>
        <w:gridCol w:w="6082"/>
        <w:gridCol w:w="9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用人单位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  <w:t>部门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竞聘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  <w:t>职位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 xml:space="preserve">竞聘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  <w:t>名额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学历要求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  <w:t>税前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工资待遇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  <w:t>（单位：元/月）</w:t>
            </w:r>
          </w:p>
        </w:tc>
        <w:tc>
          <w:tcPr>
            <w:tcW w:w="6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任职要求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abs>
                <w:tab w:val="left" w:pos="332"/>
                <w:tab w:val="center" w:pos="455"/>
              </w:tabs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  <w:t>悦弘文旅公司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  <w:t>公司领导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  <w:t>副总经理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  <w:t>按标准执行</w:t>
            </w:r>
          </w:p>
        </w:tc>
        <w:tc>
          <w:tcPr>
            <w:tcW w:w="6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numPr>
                <w:ilvl w:val="0"/>
                <w:numId w:val="1"/>
              </w:numPr>
              <w:ind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5年及以上工作经验，有一定的财务管理工作经历；</w:t>
            </w:r>
          </w:p>
          <w:p>
            <w:pPr>
              <w:widowControl/>
              <w:numPr>
                <w:ilvl w:val="0"/>
                <w:numId w:val="1"/>
              </w:numPr>
              <w:ind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1年及以上司龄，熟悉公司情况，了解文旅类企业管理、行政及人事等方面等基本知识；</w:t>
            </w:r>
          </w:p>
          <w:p>
            <w:pPr>
              <w:widowControl/>
              <w:numPr>
                <w:ilvl w:val="0"/>
                <w:numId w:val="1"/>
              </w:numPr>
              <w:ind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能够熟练运用操作各种办公设备，熟悉办公室相关流程，掌握各种公文处理流程以及各种常用公文的写作；</w:t>
            </w:r>
          </w:p>
          <w:p>
            <w:pPr>
              <w:widowControl/>
              <w:numPr>
                <w:ilvl w:val="0"/>
                <w:numId w:val="1"/>
              </w:numPr>
              <w:ind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语言、文字表达能力强，思维敏捷，洞察能力强；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了解熟悉党的方针、政策和国家的法律、法规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A658C"/>
    <w:multiLevelType w:val="singleLevel"/>
    <w:tmpl w:val="5A0A65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0ZDZjMDA0YjAyNDllZDc2MTFmYTdjNDI4OTVlNzQifQ=="/>
  </w:docVars>
  <w:rsids>
    <w:rsidRoot w:val="399B3F0E"/>
    <w:rsid w:val="1C8409D2"/>
    <w:rsid w:val="28A349F9"/>
    <w:rsid w:val="3829173F"/>
    <w:rsid w:val="399B3F0E"/>
    <w:rsid w:val="3A461688"/>
    <w:rsid w:val="53B3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360" w:lineRule="auto"/>
      <w:outlineLvl w:val="2"/>
    </w:pPr>
    <w:rPr>
      <w:rFonts w:ascii="Times New Roman" w:hAnsi="Times New Roman" w:eastAsia="楷体_GB231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2023-06-01T03:51:00Z</dcterms:created>
  <dc:creator>Rob Mariano</dc:creator>
  <cp:lastModifiedBy>Rob Mariano</cp:lastModifiedBy>
  <dcterms:modified xsi:type="dcterms:W3CDTF">2023-06-02T08:29:23Z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9160E4D0E83B49E0836614E15DEC8147_11</vt:lpwstr>
  </property>
</Properties>
</file>